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cs="Arial" w:asciiTheme="majorEastAsia" w:hAnsiTheme="majorEastAsia" w:eastAsiaTheme="majorEastAsia"/>
          <w:b/>
          <w:kern w:val="0"/>
          <w:sz w:val="52"/>
          <w:szCs w:val="52"/>
        </w:rPr>
      </w:pPr>
      <w:r>
        <w:rPr>
          <w:rFonts w:cs="Arial" w:asciiTheme="majorEastAsia" w:hAnsiTheme="majorEastAsia" w:eastAsiaTheme="majorEastAsia"/>
          <w:b/>
          <w:kern w:val="0"/>
          <w:sz w:val="52"/>
          <w:szCs w:val="52"/>
        </w:rPr>
        <w:drawing>
          <wp:inline distT="0" distB="0" distL="0" distR="0">
            <wp:extent cx="2884170" cy="1386840"/>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stretch>
                      <a:fillRect/>
                    </a:stretch>
                  </pic:blipFill>
                  <pic:spPr>
                    <a:xfrm>
                      <a:off x="0" y="0"/>
                      <a:ext cx="2884421" cy="1386961"/>
                    </a:xfrm>
                    <a:prstGeom prst="rect">
                      <a:avLst/>
                    </a:prstGeom>
                  </pic:spPr>
                </pic:pic>
              </a:graphicData>
            </a:graphic>
          </wp:inline>
        </w:drawing>
      </w:r>
    </w:p>
    <w:p>
      <w:pPr>
        <w:jc w:val="center"/>
        <w:rPr>
          <w:rFonts w:cs="Arial" w:asciiTheme="majorEastAsia" w:hAnsiTheme="majorEastAsia" w:eastAsiaTheme="majorEastAsia"/>
          <w:b/>
          <w:kern w:val="0"/>
          <w:sz w:val="52"/>
          <w:szCs w:val="52"/>
        </w:rPr>
      </w:pPr>
      <w:r>
        <w:rPr>
          <w:rFonts w:hint="eastAsia" w:asciiTheme="minorEastAsia" w:hAnsiTheme="minorEastAsia"/>
          <w:b/>
          <w:sz w:val="52"/>
          <w:szCs w:val="52"/>
        </w:rPr>
        <w:t>浙江慧琳工贸有限公司</w:t>
      </w:r>
    </w:p>
    <w:p>
      <w:pPr>
        <w:jc w:val="center"/>
        <w:rPr>
          <w:rFonts w:ascii="宋体" w:hAnsi="宋体"/>
          <w:b/>
          <w:color w:val="000000"/>
          <w:w w:val="150"/>
          <w:sz w:val="48"/>
          <w:szCs w:val="48"/>
        </w:rPr>
      </w:pPr>
      <w:r>
        <w:rPr>
          <w:rFonts w:ascii="宋体" w:hAnsi="宋体"/>
          <w:b/>
          <w:color w:val="000000"/>
          <w:w w:val="150"/>
          <w:sz w:val="48"/>
          <w:szCs w:val="48"/>
        </w:rPr>
        <w:t>20</w:t>
      </w:r>
      <w:r>
        <w:rPr>
          <w:rFonts w:hint="eastAsia" w:ascii="宋体" w:hAnsi="宋体"/>
          <w:b/>
          <w:color w:val="000000"/>
          <w:w w:val="150"/>
          <w:sz w:val="48"/>
          <w:szCs w:val="48"/>
        </w:rPr>
        <w:t>23年“浙江制造”认证</w:t>
      </w:r>
    </w:p>
    <w:p>
      <w:pPr>
        <w:ind w:firstLine="1083" w:firstLineChars="100"/>
        <w:rPr>
          <w:rFonts w:ascii="宋体" w:hAnsi="宋体"/>
          <w:b/>
          <w:color w:val="000000"/>
          <w:w w:val="150"/>
          <w:sz w:val="72"/>
          <w:szCs w:val="72"/>
        </w:rPr>
      </w:pPr>
      <w:r>
        <w:rPr>
          <w:rFonts w:hint="eastAsia" w:ascii="宋体" w:hAnsi="宋体"/>
          <w:b/>
          <w:color w:val="000000"/>
          <w:w w:val="150"/>
          <w:sz w:val="72"/>
          <w:szCs w:val="72"/>
        </w:rPr>
        <w:t>质量诚信报告</w:t>
      </w:r>
    </w:p>
    <w:p>
      <w:pPr>
        <w:rPr>
          <w:rFonts w:asciiTheme="minorEastAsia" w:hAnsiTheme="minorEastAsia"/>
          <w:b/>
          <w:sz w:val="52"/>
          <w:szCs w:val="52"/>
        </w:rPr>
      </w:pPr>
      <w:r>
        <w:rPr>
          <w:rFonts w:asciiTheme="minorEastAsia" w:hAnsiTheme="minorEastAsia"/>
          <w:b/>
          <w:sz w:val="52"/>
          <w:szCs w:val="52"/>
        </w:rPr>
        <w:drawing>
          <wp:inline distT="0" distB="0" distL="0" distR="0">
            <wp:extent cx="5272405" cy="4114800"/>
            <wp:effectExtent l="19050" t="0" r="3811"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 cstate="print"/>
                    <a:srcRect/>
                    <a:stretch>
                      <a:fillRect/>
                    </a:stretch>
                  </pic:blipFill>
                  <pic:spPr>
                    <a:xfrm>
                      <a:off x="0" y="0"/>
                      <a:ext cx="5274310" cy="4115792"/>
                    </a:xfrm>
                    <a:prstGeom prst="rect">
                      <a:avLst/>
                    </a:prstGeom>
                    <a:noFill/>
                    <a:ln w="9525">
                      <a:noFill/>
                      <a:miter lim="800000"/>
                      <a:headEnd/>
                      <a:tailEnd/>
                    </a:ln>
                  </pic:spPr>
                </pic:pic>
              </a:graphicData>
            </a:graphic>
          </wp:inline>
        </w:drawing>
      </w:r>
    </w:p>
    <w:p>
      <w:pPr>
        <w:jc w:val="center"/>
        <w:rPr>
          <w:rFonts w:asciiTheme="minorEastAsia" w:hAnsiTheme="minorEastAsia"/>
          <w:b/>
          <w:sz w:val="52"/>
          <w:szCs w:val="52"/>
        </w:rPr>
      </w:pPr>
      <w:r>
        <w:rPr>
          <w:rFonts w:hint="eastAsia" w:asciiTheme="minorEastAsia" w:hAnsiTheme="minorEastAsia"/>
          <w:b/>
          <w:sz w:val="52"/>
          <w:szCs w:val="52"/>
        </w:rPr>
        <w:t>二0二三年九月</w:t>
      </w:r>
      <w:bookmarkStart w:id="7" w:name="_GoBack"/>
      <w:bookmarkEnd w:id="7"/>
    </w:p>
    <w:p>
      <w:pPr>
        <w:ind w:firstLine="210" w:firstLineChars="100"/>
        <w:jc w:val="center"/>
      </w:pPr>
      <w:r>
        <w:rPr>
          <w:rFonts w:hint="eastAsia"/>
        </w:rPr>
        <w:t xml:space="preserve"> </w:t>
      </w:r>
    </w:p>
    <w:p>
      <w:pPr>
        <w:pStyle w:val="17"/>
        <w:tabs>
          <w:tab w:val="right" w:leader="dot" w:pos="8296"/>
        </w:tabs>
        <w:spacing w:before="78" w:after="78" w:line="276" w:lineRule="auto"/>
        <w:ind w:firstLine="3697" w:firstLineChars="837"/>
        <w:rPr>
          <w:rFonts w:cs="宋体" w:asciiTheme="minorEastAsia" w:hAnsiTheme="minorEastAsia" w:eastAsiaTheme="minorEastAsia"/>
          <w:b/>
          <w:bCs/>
          <w:color w:val="000000" w:themeColor="text1"/>
          <w:kern w:val="32"/>
          <w:sz w:val="44"/>
          <w:szCs w:val="44"/>
        </w:rPr>
      </w:pPr>
    </w:p>
    <w:p>
      <w:pPr>
        <w:pStyle w:val="17"/>
        <w:tabs>
          <w:tab w:val="right" w:leader="dot" w:pos="8296"/>
        </w:tabs>
        <w:spacing w:before="78" w:after="78" w:line="276" w:lineRule="auto"/>
        <w:ind w:firstLine="3697" w:firstLineChars="837"/>
        <w:rPr>
          <w:rFonts w:hint="eastAsia" w:cs="宋体" w:asciiTheme="minorEastAsia" w:hAnsiTheme="minorEastAsia" w:eastAsiaTheme="minorEastAsia"/>
          <w:b/>
          <w:bCs/>
          <w:color w:val="000000" w:themeColor="text1"/>
          <w:kern w:val="32"/>
          <w:sz w:val="44"/>
          <w:szCs w:val="44"/>
        </w:rPr>
        <w:sectPr>
          <w:headerReference r:id="rId3" w:type="default"/>
          <w:pgSz w:w="11906" w:h="16838"/>
          <w:pgMar w:top="1440" w:right="1133" w:bottom="1440" w:left="1800" w:header="851" w:footer="992" w:gutter="0"/>
          <w:cols w:space="425" w:num="1"/>
          <w:docGrid w:type="lines" w:linePitch="312" w:charSpace="0"/>
        </w:sectPr>
      </w:pPr>
    </w:p>
    <w:p>
      <w:pPr>
        <w:pStyle w:val="17"/>
        <w:tabs>
          <w:tab w:val="right" w:leader="dot" w:pos="8296"/>
        </w:tabs>
        <w:spacing w:before="78" w:after="78" w:line="276" w:lineRule="auto"/>
        <w:ind w:firstLine="3697" w:firstLineChars="837"/>
        <w:rPr>
          <w:rFonts w:cs="宋体" w:asciiTheme="minorEastAsia" w:hAnsiTheme="minorEastAsia" w:eastAsiaTheme="minorEastAsia"/>
          <w:b/>
          <w:bCs/>
          <w:color w:val="000000" w:themeColor="text1"/>
          <w:kern w:val="32"/>
          <w:sz w:val="44"/>
          <w:szCs w:val="44"/>
        </w:rPr>
      </w:pPr>
      <w:r>
        <w:rPr>
          <w:rFonts w:hint="eastAsia" w:cs="宋体" w:asciiTheme="minorEastAsia" w:hAnsiTheme="minorEastAsia" w:eastAsiaTheme="minorEastAsia"/>
          <w:b/>
          <w:bCs/>
          <w:color w:val="000000" w:themeColor="text1"/>
          <w:kern w:val="32"/>
          <w:sz w:val="44"/>
          <w:szCs w:val="44"/>
        </w:rPr>
        <w:t>目  录</w:t>
      </w:r>
    </w:p>
    <w:p>
      <w:pPr>
        <w:pStyle w:val="17"/>
        <w:tabs>
          <w:tab w:val="right" w:leader="dot" w:pos="8296"/>
        </w:tabs>
        <w:spacing w:before="78" w:after="78" w:line="276" w:lineRule="auto"/>
        <w:rPr>
          <w:rFonts w:asciiTheme="minorEastAsia" w:hAnsiTheme="minorEastAsia" w:eastAsiaTheme="minorEastAsia"/>
          <w:color w:val="000000" w:themeColor="text1"/>
          <w:sz w:val="28"/>
          <w:szCs w:val="28"/>
        </w:rPr>
      </w:pPr>
    </w:p>
    <w:p>
      <w:pPr>
        <w:ind w:firstLine="3220" w:firstLineChars="1150"/>
        <w:rPr>
          <w:color w:val="000000" w:themeColor="text1"/>
          <w:sz w:val="28"/>
          <w:szCs w:val="28"/>
        </w:rPr>
      </w:pPr>
      <w:r>
        <w:rPr>
          <w:rFonts w:ascii="宋体" w:hAnsi="宋体" w:cs="宋体"/>
          <w:color w:val="000000" w:themeColor="text1"/>
          <w:kern w:val="0"/>
          <w:sz w:val="28"/>
          <w:szCs w:val="28"/>
        </w:rPr>
        <w:t>第一部分：前言</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1.1</w:t>
      </w:r>
      <w:r>
        <w:rPr>
          <w:rFonts w:ascii="宋体" w:hAnsi="宋体" w:cs="宋体"/>
          <w:bCs/>
          <w:color w:val="000000" w:themeColor="text1"/>
          <w:kern w:val="0"/>
          <w:sz w:val="28"/>
          <w:szCs w:val="28"/>
        </w:rPr>
        <w:t>编制说明</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3</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1.2</w:t>
      </w:r>
      <w:r>
        <w:rPr>
          <w:rFonts w:cs="宋体" w:asciiTheme="minorEastAsia" w:hAnsiTheme="minorEastAsia" w:eastAsiaTheme="minorEastAsia"/>
          <w:bCs/>
          <w:color w:val="000000" w:themeColor="text1"/>
          <w:kern w:val="0"/>
          <w:sz w:val="28"/>
          <w:szCs w:val="28"/>
        </w:rPr>
        <w:t>总经理致辞………………………………………………………</w:t>
      </w:r>
      <w:r>
        <w:rPr>
          <w:rFonts w:hint="eastAsia" w:cs="宋体" w:asciiTheme="minorEastAsia" w:hAnsiTheme="minorEastAsia" w:eastAsiaTheme="minorEastAsia"/>
          <w:bCs/>
          <w:color w:val="000000" w:themeColor="text1"/>
          <w:kern w:val="0"/>
          <w:sz w:val="28"/>
          <w:szCs w:val="28"/>
        </w:rPr>
        <w:t>4</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1.3</w:t>
      </w:r>
      <w:r>
        <w:rPr>
          <w:rFonts w:cs="宋体" w:asciiTheme="minorEastAsia" w:hAnsiTheme="minorEastAsia" w:eastAsiaTheme="minorEastAsia"/>
          <w:bCs/>
          <w:color w:val="000000" w:themeColor="text1"/>
          <w:kern w:val="0"/>
          <w:sz w:val="28"/>
          <w:szCs w:val="28"/>
        </w:rPr>
        <w:t>企业简介…………………………………………………………</w:t>
      </w:r>
      <w:r>
        <w:rPr>
          <w:rFonts w:hint="eastAsia" w:cs="宋体" w:asciiTheme="minorEastAsia" w:hAnsiTheme="minorEastAsia" w:eastAsiaTheme="minorEastAsia"/>
          <w:bCs/>
          <w:color w:val="000000" w:themeColor="text1"/>
          <w:kern w:val="0"/>
          <w:sz w:val="28"/>
          <w:szCs w:val="28"/>
        </w:rPr>
        <w:t>5</w:t>
      </w:r>
    </w:p>
    <w:p>
      <w:pPr>
        <w:widowControl/>
        <w:shd w:val="clear" w:color="auto" w:fill="FFFFFF"/>
        <w:spacing w:line="300" w:lineRule="atLeast"/>
        <w:jc w:val="center"/>
        <w:rPr>
          <w:rFonts w:cs="宋体" w:asciiTheme="minorEastAsia" w:hAnsiTheme="minorEastAsia" w:eastAsiaTheme="minorEastAsia"/>
          <w:color w:val="000000" w:themeColor="text1"/>
          <w:kern w:val="0"/>
          <w:sz w:val="28"/>
          <w:szCs w:val="28"/>
        </w:rPr>
      </w:pPr>
      <w:r>
        <w:rPr>
          <w:rFonts w:cs="宋体" w:asciiTheme="minorEastAsia" w:hAnsiTheme="minorEastAsia" w:eastAsiaTheme="minorEastAsia"/>
          <w:color w:val="000000" w:themeColor="text1"/>
          <w:kern w:val="0"/>
          <w:sz w:val="28"/>
          <w:szCs w:val="28"/>
        </w:rPr>
        <w:t>第二部分：报告正文</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2.1</w:t>
      </w:r>
      <w:r>
        <w:rPr>
          <w:rFonts w:cs="宋体" w:asciiTheme="minorEastAsia" w:hAnsiTheme="minorEastAsia" w:eastAsiaTheme="minorEastAsia"/>
          <w:bCs/>
          <w:color w:val="000000" w:themeColor="text1"/>
          <w:kern w:val="0"/>
          <w:sz w:val="28"/>
          <w:szCs w:val="28"/>
        </w:rPr>
        <w:t>企业质量理念……………………………………………………</w:t>
      </w:r>
      <w:r>
        <w:rPr>
          <w:rFonts w:hint="eastAsia" w:cs="宋体" w:asciiTheme="minorEastAsia" w:hAnsiTheme="minorEastAsia" w:eastAsiaTheme="minorEastAsia"/>
          <w:bCs/>
          <w:color w:val="000000" w:themeColor="text1"/>
          <w:kern w:val="0"/>
          <w:sz w:val="28"/>
          <w:szCs w:val="28"/>
        </w:rPr>
        <w:t>6</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2.2企业质量管理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7</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2.2.1总则</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7</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2.2.2质量管理机构</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7</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2.2.3质量管理体系</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9</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2.2.4质量安全风险管理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12</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color w:val="000000" w:themeColor="text1"/>
          <w:kern w:val="0"/>
          <w:sz w:val="28"/>
          <w:szCs w:val="28"/>
        </w:rPr>
        <w:t>2.3质量诚信管理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13</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2.3.1总则</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13</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2.3.2质量承诺</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13</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2.3.3运作管理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14</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2.3.4营销管理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16</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2.4质量管理基础</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17</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2.4.1总则</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17</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2.4.2标准管理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17</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2.4.3计量管理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17</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2.4.4认证管理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18</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2.4.5检验检测管理</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18</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2.5产品质量责任</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19</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2.5.1总则</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19</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2.5.2产品质量水平</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19</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2.5.3产品售后责任</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19</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2.5.4企业社会责任</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22</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2.5.5质量信用记录</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29</w:t>
      </w:r>
    </w:p>
    <w:p>
      <w:pPr>
        <w:widowControl/>
        <w:shd w:val="clear" w:color="auto" w:fill="FFFFFF"/>
        <w:spacing w:line="300" w:lineRule="atLeast"/>
        <w:ind w:firstLine="280" w:firstLineChars="100"/>
        <w:rPr>
          <w:rFonts w:cs="宋体" w:asciiTheme="minorEastAsia" w:hAnsiTheme="minorEastAsia" w:eastAsiaTheme="minorEastAsia"/>
          <w:bCs/>
          <w:color w:val="000000" w:themeColor="text1"/>
          <w:kern w:val="0"/>
          <w:sz w:val="28"/>
          <w:szCs w:val="28"/>
        </w:rPr>
      </w:pPr>
    </w:p>
    <w:p>
      <w:pPr>
        <w:widowControl/>
        <w:shd w:val="clear" w:color="auto" w:fill="FFFFFF"/>
        <w:spacing w:line="300" w:lineRule="atLeast"/>
        <w:jc w:val="center"/>
        <w:rPr>
          <w:rFonts w:cs="宋体" w:asciiTheme="minorEastAsia" w:hAnsiTheme="minorEastAsia" w:eastAsiaTheme="minorEastAsia"/>
          <w:bCs/>
          <w:color w:val="000000" w:themeColor="text1"/>
          <w:kern w:val="0"/>
          <w:sz w:val="28"/>
          <w:szCs w:val="28"/>
        </w:rPr>
      </w:pPr>
      <w:r>
        <w:rPr>
          <w:rFonts w:cs="宋体" w:asciiTheme="minorEastAsia" w:hAnsiTheme="minorEastAsia" w:eastAsiaTheme="minorEastAsia"/>
          <w:bCs/>
          <w:color w:val="000000" w:themeColor="text1"/>
          <w:kern w:val="0"/>
          <w:sz w:val="28"/>
          <w:szCs w:val="28"/>
        </w:rPr>
        <w:t>第</w:t>
      </w:r>
      <w:r>
        <w:rPr>
          <w:rFonts w:hint="eastAsia" w:cs="宋体" w:asciiTheme="minorEastAsia" w:hAnsiTheme="minorEastAsia" w:eastAsiaTheme="minorEastAsia"/>
          <w:bCs/>
          <w:color w:val="000000" w:themeColor="text1"/>
          <w:kern w:val="0"/>
          <w:sz w:val="28"/>
          <w:szCs w:val="28"/>
        </w:rPr>
        <w:t>三</w:t>
      </w:r>
      <w:r>
        <w:rPr>
          <w:rFonts w:cs="宋体" w:asciiTheme="minorEastAsia" w:hAnsiTheme="minorEastAsia" w:eastAsiaTheme="minorEastAsia"/>
          <w:bCs/>
          <w:color w:val="000000" w:themeColor="text1"/>
          <w:kern w:val="0"/>
          <w:sz w:val="28"/>
          <w:szCs w:val="28"/>
        </w:rPr>
        <w:t>部分：报告</w:t>
      </w:r>
      <w:r>
        <w:rPr>
          <w:rFonts w:hint="eastAsia" w:cs="宋体" w:asciiTheme="minorEastAsia" w:hAnsiTheme="minorEastAsia" w:eastAsiaTheme="minorEastAsia"/>
          <w:bCs/>
          <w:color w:val="000000" w:themeColor="text1"/>
          <w:kern w:val="0"/>
          <w:sz w:val="28"/>
          <w:szCs w:val="28"/>
        </w:rPr>
        <w:t>结语</w:t>
      </w:r>
    </w:p>
    <w:p>
      <w:pPr>
        <w:widowControl/>
        <w:shd w:val="clear" w:color="auto" w:fill="FFFFFF"/>
        <w:spacing w:line="300" w:lineRule="atLeast"/>
        <w:rPr>
          <w:rFonts w:cs="宋体" w:asciiTheme="minorEastAsia" w:hAnsiTheme="minorEastAsia" w:eastAsiaTheme="minorEastAsia"/>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3.1未来展望</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29</w:t>
      </w:r>
    </w:p>
    <w:p>
      <w:pPr>
        <w:widowControl/>
        <w:shd w:val="clear" w:color="auto" w:fill="FFFFFF"/>
        <w:spacing w:line="300" w:lineRule="atLeast"/>
        <w:rPr>
          <w:rFonts w:cs="宋体" w:asciiTheme="minorEastAsia" w:hAnsiTheme="minorEastAsia" w:eastAsiaTheme="minorEastAsia"/>
          <w:bCs/>
          <w:color w:val="000000" w:themeColor="text1"/>
          <w:kern w:val="0"/>
          <w:sz w:val="28"/>
          <w:szCs w:val="28"/>
        </w:rPr>
      </w:pPr>
      <w:r>
        <w:rPr>
          <w:rFonts w:hint="eastAsia" w:cs="宋体" w:asciiTheme="minorEastAsia" w:hAnsiTheme="minorEastAsia" w:eastAsiaTheme="minorEastAsia"/>
          <w:bCs/>
          <w:color w:val="000000" w:themeColor="text1"/>
          <w:kern w:val="0"/>
          <w:sz w:val="28"/>
          <w:szCs w:val="28"/>
        </w:rPr>
        <w:t>3.2读者意见反馈</w:t>
      </w:r>
      <w:r>
        <w:rPr>
          <w:rFonts w:cs="宋体" w:asciiTheme="minorEastAsia" w:hAnsiTheme="minorEastAsia" w:eastAsiaTheme="minorEastAsia"/>
          <w:bCs/>
          <w:color w:val="000000" w:themeColor="text1"/>
          <w:kern w:val="0"/>
          <w:sz w:val="28"/>
          <w:szCs w:val="28"/>
        </w:rPr>
        <w:t>……………………………………………………</w:t>
      </w:r>
      <w:r>
        <w:rPr>
          <w:rFonts w:hint="eastAsia" w:cs="宋体" w:asciiTheme="minorEastAsia" w:hAnsiTheme="minorEastAsia" w:eastAsiaTheme="minorEastAsia"/>
          <w:bCs/>
          <w:color w:val="000000" w:themeColor="text1"/>
          <w:kern w:val="0"/>
          <w:sz w:val="28"/>
          <w:szCs w:val="28"/>
        </w:rPr>
        <w:t>29</w:t>
      </w:r>
    </w:p>
    <w:p>
      <w:pPr>
        <w:widowControl/>
        <w:spacing w:line="276" w:lineRule="auto"/>
        <w:jc w:val="left"/>
        <w:rPr>
          <w:rFonts w:cs="宋体" w:asciiTheme="minorEastAsia" w:hAnsiTheme="minorEastAsia" w:eastAsiaTheme="minorEastAsia"/>
          <w:b/>
          <w:bCs/>
          <w:color w:val="FF0000"/>
          <w:kern w:val="32"/>
          <w:sz w:val="44"/>
          <w:szCs w:val="44"/>
        </w:rPr>
      </w:pPr>
    </w:p>
    <w:p>
      <w:pPr>
        <w:widowControl/>
        <w:spacing w:line="276" w:lineRule="auto"/>
        <w:jc w:val="left"/>
        <w:rPr>
          <w:rFonts w:cs="宋体" w:asciiTheme="minorEastAsia" w:hAnsiTheme="minorEastAsia" w:eastAsiaTheme="minorEastAsia"/>
          <w:b/>
          <w:bCs/>
          <w:color w:val="FF0000"/>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left"/>
        <w:rPr>
          <w:rFonts w:cs="宋体" w:asciiTheme="minorEastAsia" w:hAnsiTheme="minorEastAsia" w:eastAsiaTheme="minorEastAsia"/>
          <w:b/>
          <w:bCs/>
          <w:color w:val="000000" w:themeColor="text1"/>
          <w:kern w:val="32"/>
          <w:sz w:val="44"/>
          <w:szCs w:val="44"/>
        </w:rPr>
      </w:pPr>
    </w:p>
    <w:p>
      <w:pPr>
        <w:widowControl/>
        <w:spacing w:line="276" w:lineRule="auto"/>
        <w:jc w:val="center"/>
        <w:rPr>
          <w:rFonts w:ascii="宋体" w:hAnsi="宋体" w:cs="宋体"/>
          <w:color w:val="000000" w:themeColor="text1"/>
          <w:kern w:val="0"/>
          <w:sz w:val="36"/>
          <w:szCs w:val="36"/>
        </w:rPr>
      </w:pPr>
    </w:p>
    <w:p>
      <w:pPr>
        <w:widowControl/>
        <w:spacing w:line="276" w:lineRule="auto"/>
        <w:jc w:val="center"/>
        <w:rPr>
          <w:rFonts w:cs="宋体" w:asciiTheme="minorEastAsia" w:hAnsiTheme="minorEastAsia" w:eastAsiaTheme="minorEastAsia"/>
          <w:b/>
          <w:bCs/>
          <w:color w:val="000000" w:themeColor="text1"/>
          <w:kern w:val="32"/>
          <w:sz w:val="36"/>
          <w:szCs w:val="36"/>
        </w:rPr>
      </w:pPr>
      <w:r>
        <w:rPr>
          <w:rFonts w:ascii="宋体" w:hAnsi="宋体" w:cs="宋体"/>
          <w:color w:val="000000" w:themeColor="text1"/>
          <w:kern w:val="0"/>
          <w:sz w:val="36"/>
          <w:szCs w:val="36"/>
        </w:rPr>
        <w:t>第一部分：前言</w:t>
      </w:r>
      <w:bookmarkStart w:id="0" w:name="_Toc451594564"/>
    </w:p>
    <w:p>
      <w:pPr>
        <w:widowControl/>
        <w:spacing w:line="276" w:lineRule="auto"/>
        <w:jc w:val="center"/>
        <w:rPr>
          <w:rFonts w:cs="宋体" w:asciiTheme="minorEastAsia" w:hAnsiTheme="minorEastAsia" w:eastAsiaTheme="minorEastAsia"/>
          <w:b/>
          <w:bCs/>
          <w:color w:val="000000" w:themeColor="text1"/>
          <w:kern w:val="32"/>
          <w:sz w:val="36"/>
          <w:szCs w:val="36"/>
        </w:rPr>
      </w:pPr>
    </w:p>
    <w:p>
      <w:pPr>
        <w:keepNext/>
        <w:keepLines/>
        <w:spacing w:line="276" w:lineRule="auto"/>
        <w:outlineLvl w:val="0"/>
        <w:rPr>
          <w:rFonts w:cs="宋体" w:asciiTheme="minorEastAsia" w:hAnsiTheme="minorEastAsia" w:eastAsiaTheme="minorEastAsia"/>
          <w:b/>
          <w:bCs/>
          <w:color w:val="000000" w:themeColor="text1"/>
          <w:kern w:val="32"/>
          <w:sz w:val="28"/>
          <w:szCs w:val="28"/>
        </w:rPr>
      </w:pPr>
      <w:r>
        <w:rPr>
          <w:rFonts w:hint="eastAsia" w:cs="宋体" w:asciiTheme="minorEastAsia" w:hAnsiTheme="minorEastAsia" w:eastAsiaTheme="minorEastAsia"/>
          <w:b/>
          <w:bCs/>
          <w:color w:val="000000" w:themeColor="text1"/>
          <w:kern w:val="32"/>
          <w:sz w:val="28"/>
          <w:szCs w:val="28"/>
        </w:rPr>
        <w:t>1.1</w:t>
      </w:r>
      <w:bookmarkEnd w:id="0"/>
      <w:r>
        <w:rPr>
          <w:rFonts w:hint="eastAsia" w:cs="宋体" w:asciiTheme="minorEastAsia" w:hAnsiTheme="minorEastAsia" w:eastAsiaTheme="minorEastAsia"/>
          <w:b/>
          <w:bCs/>
          <w:color w:val="000000" w:themeColor="text1"/>
          <w:kern w:val="32"/>
          <w:sz w:val="28"/>
          <w:szCs w:val="28"/>
        </w:rPr>
        <w:t>编制说明</w:t>
      </w:r>
    </w:p>
    <w:p>
      <w:pPr>
        <w:ind w:firstLine="526" w:firstLineChars="200"/>
        <w:rPr>
          <w:rFonts w:asciiTheme="minorEastAsia" w:hAnsiTheme="minorEastAsia" w:eastAsiaTheme="minorEastAsia"/>
          <w:color w:val="000000" w:themeColor="text1"/>
          <w:w w:val="99"/>
          <w:sz w:val="28"/>
          <w:szCs w:val="28"/>
        </w:rPr>
      </w:pPr>
      <w:r>
        <w:rPr>
          <w:rFonts w:asciiTheme="minorEastAsia" w:hAnsiTheme="minorEastAsia" w:eastAsiaTheme="minorEastAsia"/>
          <w:color w:val="000000" w:themeColor="text1"/>
          <w:w w:val="94"/>
          <w:sz w:val="28"/>
          <w:szCs w:val="28"/>
        </w:rPr>
        <w:t>本公</w:t>
      </w:r>
      <w:r>
        <w:rPr>
          <w:rFonts w:asciiTheme="minorEastAsia" w:hAnsiTheme="minorEastAsia" w:eastAsiaTheme="minorEastAsia"/>
          <w:color w:val="000000" w:themeColor="text1"/>
          <w:spacing w:val="7"/>
          <w:w w:val="94"/>
          <w:sz w:val="28"/>
          <w:szCs w:val="28"/>
        </w:rPr>
        <w:t>司出</w:t>
      </w:r>
      <w:r>
        <w:rPr>
          <w:rFonts w:asciiTheme="minorEastAsia" w:hAnsiTheme="minorEastAsia" w:eastAsiaTheme="minorEastAsia"/>
          <w:color w:val="000000" w:themeColor="text1"/>
          <w:w w:val="94"/>
          <w:sz w:val="28"/>
          <w:szCs w:val="28"/>
        </w:rPr>
        <w:t>具</w:t>
      </w:r>
      <w:r>
        <w:rPr>
          <w:rFonts w:asciiTheme="minorEastAsia" w:hAnsiTheme="minorEastAsia" w:eastAsiaTheme="minorEastAsia"/>
          <w:color w:val="000000" w:themeColor="text1"/>
          <w:spacing w:val="7"/>
          <w:w w:val="94"/>
          <w:sz w:val="28"/>
          <w:szCs w:val="28"/>
        </w:rPr>
        <w:t>的质量诚</w:t>
      </w:r>
      <w:r>
        <w:rPr>
          <w:rFonts w:asciiTheme="minorEastAsia" w:hAnsiTheme="minorEastAsia" w:eastAsiaTheme="minorEastAsia"/>
          <w:color w:val="000000" w:themeColor="text1"/>
          <w:w w:val="94"/>
          <w:sz w:val="28"/>
          <w:szCs w:val="28"/>
        </w:rPr>
        <w:t>信报</w:t>
      </w:r>
      <w:r>
        <w:rPr>
          <w:rFonts w:asciiTheme="minorEastAsia" w:hAnsiTheme="minorEastAsia" w:eastAsiaTheme="minorEastAsia"/>
          <w:color w:val="000000" w:themeColor="text1"/>
          <w:spacing w:val="7"/>
          <w:w w:val="94"/>
          <w:sz w:val="28"/>
          <w:szCs w:val="28"/>
        </w:rPr>
        <w:t>告</w:t>
      </w:r>
      <w:r>
        <w:rPr>
          <w:rFonts w:asciiTheme="minorEastAsia" w:hAnsiTheme="minorEastAsia" w:eastAsiaTheme="minorEastAsia"/>
          <w:color w:val="000000" w:themeColor="text1"/>
          <w:spacing w:val="-29"/>
          <w:w w:val="94"/>
          <w:sz w:val="28"/>
          <w:szCs w:val="28"/>
        </w:rPr>
        <w:t>，</w:t>
      </w:r>
      <w:r>
        <w:rPr>
          <w:rFonts w:asciiTheme="minorEastAsia" w:hAnsiTheme="minorEastAsia" w:eastAsiaTheme="minorEastAsia"/>
          <w:color w:val="000000" w:themeColor="text1"/>
          <w:w w:val="94"/>
          <w:sz w:val="28"/>
          <w:szCs w:val="28"/>
        </w:rPr>
        <w:t>是</w:t>
      </w:r>
      <w:r>
        <w:rPr>
          <w:rFonts w:asciiTheme="minorEastAsia" w:hAnsiTheme="minorEastAsia" w:eastAsiaTheme="minorEastAsia"/>
          <w:color w:val="000000" w:themeColor="text1"/>
          <w:spacing w:val="7"/>
          <w:w w:val="94"/>
          <w:sz w:val="28"/>
          <w:szCs w:val="28"/>
        </w:rPr>
        <w:t>依据国家</w:t>
      </w:r>
      <w:r>
        <w:rPr>
          <w:rFonts w:asciiTheme="minorEastAsia" w:hAnsiTheme="minorEastAsia" w:eastAsiaTheme="minorEastAsia"/>
          <w:color w:val="000000" w:themeColor="text1"/>
          <w:w w:val="94"/>
          <w:sz w:val="28"/>
          <w:szCs w:val="28"/>
        </w:rPr>
        <w:t>有关</w:t>
      </w:r>
      <w:r>
        <w:rPr>
          <w:rFonts w:asciiTheme="minorEastAsia" w:hAnsiTheme="minorEastAsia" w:eastAsiaTheme="minorEastAsia"/>
          <w:color w:val="000000" w:themeColor="text1"/>
          <w:spacing w:val="7"/>
          <w:w w:val="94"/>
          <w:sz w:val="28"/>
          <w:szCs w:val="28"/>
        </w:rPr>
        <w:t>质量</w:t>
      </w:r>
      <w:r>
        <w:rPr>
          <w:rFonts w:asciiTheme="minorEastAsia" w:hAnsiTheme="minorEastAsia" w:eastAsiaTheme="minorEastAsia"/>
          <w:color w:val="000000" w:themeColor="text1"/>
          <w:w w:val="94"/>
          <w:sz w:val="28"/>
          <w:szCs w:val="28"/>
        </w:rPr>
        <w:t>法</w:t>
      </w:r>
      <w:r>
        <w:rPr>
          <w:rFonts w:asciiTheme="minorEastAsia" w:hAnsiTheme="minorEastAsia" w:eastAsiaTheme="minorEastAsia"/>
          <w:color w:val="000000" w:themeColor="text1"/>
          <w:spacing w:val="7"/>
          <w:w w:val="94"/>
          <w:sz w:val="28"/>
          <w:szCs w:val="28"/>
        </w:rPr>
        <w:t>律法规</w:t>
      </w:r>
      <w:r>
        <w:rPr>
          <w:rFonts w:asciiTheme="minorEastAsia" w:hAnsiTheme="minorEastAsia" w:eastAsiaTheme="minorEastAsia"/>
          <w:color w:val="000000" w:themeColor="text1"/>
          <w:spacing w:val="-29"/>
          <w:w w:val="94"/>
          <w:sz w:val="28"/>
          <w:szCs w:val="28"/>
        </w:rPr>
        <w:t>、</w:t>
      </w:r>
      <w:r>
        <w:rPr>
          <w:rFonts w:asciiTheme="minorEastAsia" w:hAnsiTheme="minorEastAsia" w:eastAsiaTheme="minorEastAsia"/>
          <w:color w:val="000000" w:themeColor="text1"/>
          <w:w w:val="94"/>
          <w:sz w:val="28"/>
          <w:szCs w:val="28"/>
        </w:rPr>
        <w:t>规章</w:t>
      </w:r>
      <w:r>
        <w:rPr>
          <w:rFonts w:asciiTheme="minorEastAsia" w:hAnsiTheme="minorEastAsia" w:eastAsiaTheme="minorEastAsia"/>
          <w:color w:val="000000" w:themeColor="text1"/>
          <w:spacing w:val="6"/>
          <w:w w:val="94"/>
          <w:sz w:val="28"/>
          <w:szCs w:val="28"/>
        </w:rPr>
        <w:t>及</w:t>
      </w:r>
      <w:r>
        <w:rPr>
          <w:rFonts w:asciiTheme="minorEastAsia" w:hAnsiTheme="minorEastAsia" w:eastAsiaTheme="minorEastAsia"/>
          <w:color w:val="000000" w:themeColor="text1"/>
          <w:w w:val="94"/>
          <w:sz w:val="28"/>
          <w:szCs w:val="28"/>
        </w:rPr>
        <w:t>相</w:t>
      </w:r>
      <w:r>
        <w:rPr>
          <w:rFonts w:asciiTheme="minorEastAsia" w:hAnsiTheme="minorEastAsia" w:eastAsiaTheme="minorEastAsia"/>
          <w:color w:val="000000" w:themeColor="text1"/>
          <w:spacing w:val="6"/>
          <w:w w:val="94"/>
          <w:sz w:val="28"/>
          <w:szCs w:val="28"/>
        </w:rPr>
        <w:t>关</w:t>
      </w:r>
      <w:r>
        <w:rPr>
          <w:rFonts w:asciiTheme="minorEastAsia" w:hAnsiTheme="minorEastAsia" w:eastAsiaTheme="minorEastAsia"/>
          <w:color w:val="000000" w:themeColor="text1"/>
          <w:w w:val="94"/>
          <w:sz w:val="28"/>
          <w:szCs w:val="28"/>
        </w:rPr>
        <w:t>行</w:t>
      </w:r>
      <w:r>
        <w:rPr>
          <w:rFonts w:asciiTheme="minorEastAsia" w:hAnsiTheme="minorEastAsia" w:eastAsiaTheme="minorEastAsia"/>
          <w:color w:val="000000" w:themeColor="text1"/>
          <w:spacing w:val="2"/>
          <w:w w:val="94"/>
          <w:sz w:val="28"/>
          <w:szCs w:val="28"/>
        </w:rPr>
        <w:t>业</w:t>
      </w:r>
      <w:r>
        <w:rPr>
          <w:rFonts w:asciiTheme="minorEastAsia" w:hAnsiTheme="minorEastAsia" w:eastAsiaTheme="minorEastAsia"/>
          <w:color w:val="000000" w:themeColor="text1"/>
          <w:w w:val="94"/>
          <w:sz w:val="28"/>
          <w:szCs w:val="28"/>
        </w:rPr>
        <w:t>质量</w:t>
      </w:r>
      <w:r>
        <w:rPr>
          <w:rFonts w:asciiTheme="minorEastAsia" w:hAnsiTheme="minorEastAsia" w:eastAsiaTheme="minorEastAsia"/>
          <w:color w:val="000000" w:themeColor="text1"/>
          <w:spacing w:val="2"/>
          <w:w w:val="94"/>
          <w:sz w:val="28"/>
          <w:szCs w:val="28"/>
        </w:rPr>
        <w:t>标</w:t>
      </w:r>
      <w:r>
        <w:rPr>
          <w:rFonts w:asciiTheme="minorEastAsia" w:hAnsiTheme="minorEastAsia" w:eastAsiaTheme="minorEastAsia"/>
          <w:color w:val="000000" w:themeColor="text1"/>
          <w:w w:val="94"/>
          <w:sz w:val="28"/>
          <w:szCs w:val="28"/>
        </w:rPr>
        <w:t>准</w:t>
      </w:r>
      <w:r>
        <w:rPr>
          <w:rFonts w:asciiTheme="minorEastAsia" w:hAnsiTheme="minorEastAsia" w:eastAsiaTheme="minorEastAsia"/>
          <w:color w:val="000000" w:themeColor="text1"/>
          <w:spacing w:val="-51"/>
          <w:w w:val="94"/>
          <w:sz w:val="28"/>
          <w:szCs w:val="28"/>
        </w:rPr>
        <w:t>、</w:t>
      </w:r>
      <w:r>
        <w:rPr>
          <w:rFonts w:asciiTheme="minorEastAsia" w:hAnsiTheme="minorEastAsia" w:eastAsiaTheme="minorEastAsia"/>
          <w:color w:val="000000" w:themeColor="text1"/>
          <w:w w:val="94"/>
          <w:sz w:val="28"/>
          <w:szCs w:val="28"/>
        </w:rPr>
        <w:t>规</w:t>
      </w:r>
      <w:r>
        <w:rPr>
          <w:rFonts w:asciiTheme="minorEastAsia" w:hAnsiTheme="minorEastAsia" w:eastAsiaTheme="minorEastAsia"/>
          <w:color w:val="000000" w:themeColor="text1"/>
          <w:spacing w:val="2"/>
          <w:w w:val="94"/>
          <w:sz w:val="28"/>
          <w:szCs w:val="28"/>
        </w:rPr>
        <w:t>范</w:t>
      </w:r>
      <w:r>
        <w:rPr>
          <w:rFonts w:asciiTheme="minorEastAsia" w:hAnsiTheme="minorEastAsia" w:eastAsiaTheme="minorEastAsia"/>
          <w:color w:val="000000" w:themeColor="text1"/>
          <w:w w:val="94"/>
          <w:sz w:val="28"/>
          <w:szCs w:val="28"/>
        </w:rPr>
        <w:t>等</w:t>
      </w:r>
      <w:r>
        <w:rPr>
          <w:rFonts w:asciiTheme="minorEastAsia" w:hAnsiTheme="minorEastAsia" w:eastAsiaTheme="minorEastAsia"/>
          <w:color w:val="000000" w:themeColor="text1"/>
          <w:spacing w:val="5"/>
          <w:w w:val="94"/>
          <w:sz w:val="28"/>
          <w:szCs w:val="28"/>
        </w:rPr>
        <w:t>进</w:t>
      </w:r>
      <w:r>
        <w:rPr>
          <w:rFonts w:asciiTheme="minorEastAsia" w:hAnsiTheme="minorEastAsia" w:eastAsiaTheme="minorEastAsia"/>
          <w:color w:val="000000" w:themeColor="text1"/>
          <w:spacing w:val="2"/>
          <w:w w:val="94"/>
          <w:sz w:val="28"/>
          <w:szCs w:val="28"/>
        </w:rPr>
        <w:t>行</w:t>
      </w:r>
      <w:r>
        <w:rPr>
          <w:rFonts w:asciiTheme="minorEastAsia" w:hAnsiTheme="minorEastAsia" w:eastAsiaTheme="minorEastAsia"/>
          <w:color w:val="000000" w:themeColor="text1"/>
          <w:w w:val="94"/>
          <w:sz w:val="28"/>
          <w:szCs w:val="28"/>
        </w:rPr>
        <w:t>编</w:t>
      </w:r>
      <w:r>
        <w:rPr>
          <w:rFonts w:asciiTheme="minorEastAsia" w:hAnsiTheme="minorEastAsia" w:eastAsiaTheme="minorEastAsia"/>
          <w:color w:val="000000" w:themeColor="text1"/>
          <w:spacing w:val="2"/>
          <w:w w:val="94"/>
          <w:sz w:val="28"/>
          <w:szCs w:val="28"/>
        </w:rPr>
        <w:t>制</w:t>
      </w:r>
      <w:r>
        <w:rPr>
          <w:rFonts w:asciiTheme="minorEastAsia" w:hAnsiTheme="minorEastAsia" w:eastAsiaTheme="minorEastAsia"/>
          <w:color w:val="000000" w:themeColor="text1"/>
          <w:spacing w:val="-46"/>
          <w:w w:val="94"/>
          <w:sz w:val="28"/>
          <w:szCs w:val="28"/>
        </w:rPr>
        <w:t>。</w:t>
      </w:r>
      <w:r>
        <w:rPr>
          <w:rFonts w:asciiTheme="minorEastAsia" w:hAnsiTheme="minorEastAsia" w:eastAsiaTheme="minorEastAsia"/>
          <w:color w:val="000000" w:themeColor="text1"/>
          <w:w w:val="94"/>
          <w:sz w:val="28"/>
          <w:szCs w:val="28"/>
        </w:rPr>
        <w:t>报</w:t>
      </w:r>
      <w:r>
        <w:rPr>
          <w:rFonts w:asciiTheme="minorEastAsia" w:hAnsiTheme="minorEastAsia" w:eastAsiaTheme="minorEastAsia"/>
          <w:color w:val="000000" w:themeColor="text1"/>
          <w:spacing w:val="2"/>
          <w:w w:val="94"/>
          <w:sz w:val="28"/>
          <w:szCs w:val="28"/>
        </w:rPr>
        <w:t>告</w:t>
      </w:r>
      <w:r>
        <w:rPr>
          <w:rFonts w:asciiTheme="minorEastAsia" w:hAnsiTheme="minorEastAsia" w:eastAsiaTheme="minorEastAsia"/>
          <w:color w:val="000000" w:themeColor="text1"/>
          <w:w w:val="94"/>
          <w:sz w:val="28"/>
          <w:szCs w:val="28"/>
        </w:rPr>
        <w:t>中</w:t>
      </w:r>
      <w:r>
        <w:rPr>
          <w:rFonts w:asciiTheme="minorEastAsia" w:hAnsiTheme="minorEastAsia" w:eastAsiaTheme="minorEastAsia"/>
          <w:color w:val="000000" w:themeColor="text1"/>
          <w:spacing w:val="2"/>
          <w:w w:val="94"/>
          <w:sz w:val="28"/>
          <w:szCs w:val="28"/>
        </w:rPr>
        <w:t>关</w:t>
      </w:r>
      <w:r>
        <w:rPr>
          <w:rFonts w:asciiTheme="minorEastAsia" w:hAnsiTheme="minorEastAsia" w:eastAsiaTheme="minorEastAsia"/>
          <w:color w:val="000000" w:themeColor="text1"/>
          <w:spacing w:val="5"/>
          <w:w w:val="94"/>
          <w:sz w:val="28"/>
          <w:szCs w:val="28"/>
        </w:rPr>
        <w:t>于公</w:t>
      </w:r>
      <w:r>
        <w:rPr>
          <w:rFonts w:asciiTheme="minorEastAsia" w:hAnsiTheme="minorEastAsia" w:eastAsiaTheme="minorEastAsia"/>
          <w:color w:val="000000" w:themeColor="text1"/>
          <w:spacing w:val="2"/>
          <w:w w:val="94"/>
          <w:sz w:val="28"/>
          <w:szCs w:val="28"/>
        </w:rPr>
        <w:t>司</w:t>
      </w:r>
      <w:r>
        <w:rPr>
          <w:rFonts w:asciiTheme="minorEastAsia" w:hAnsiTheme="minorEastAsia" w:eastAsiaTheme="minorEastAsia"/>
          <w:color w:val="000000" w:themeColor="text1"/>
          <w:w w:val="94"/>
          <w:sz w:val="28"/>
          <w:szCs w:val="28"/>
        </w:rPr>
        <w:t>质</w:t>
      </w:r>
      <w:r>
        <w:rPr>
          <w:rFonts w:asciiTheme="minorEastAsia" w:hAnsiTheme="minorEastAsia" w:eastAsiaTheme="minorEastAsia"/>
          <w:color w:val="000000" w:themeColor="text1"/>
          <w:spacing w:val="2"/>
          <w:w w:val="94"/>
          <w:sz w:val="28"/>
          <w:szCs w:val="28"/>
        </w:rPr>
        <w:t>量</w:t>
      </w:r>
      <w:r>
        <w:rPr>
          <w:rFonts w:asciiTheme="minorEastAsia" w:hAnsiTheme="minorEastAsia" w:eastAsiaTheme="minorEastAsia"/>
          <w:color w:val="000000" w:themeColor="text1"/>
          <w:w w:val="94"/>
          <w:sz w:val="28"/>
          <w:szCs w:val="28"/>
        </w:rPr>
        <w:t>诚信</w:t>
      </w:r>
      <w:r>
        <w:rPr>
          <w:rFonts w:asciiTheme="minorEastAsia" w:hAnsiTheme="minorEastAsia" w:eastAsiaTheme="minorEastAsia"/>
          <w:color w:val="000000" w:themeColor="text1"/>
          <w:spacing w:val="2"/>
          <w:w w:val="94"/>
          <w:sz w:val="28"/>
          <w:szCs w:val="28"/>
        </w:rPr>
        <w:t>和</w:t>
      </w:r>
      <w:r>
        <w:rPr>
          <w:rFonts w:asciiTheme="minorEastAsia" w:hAnsiTheme="minorEastAsia" w:eastAsiaTheme="minorEastAsia"/>
          <w:color w:val="000000" w:themeColor="text1"/>
          <w:w w:val="94"/>
          <w:sz w:val="28"/>
          <w:szCs w:val="28"/>
        </w:rPr>
        <w:t>质</w:t>
      </w:r>
      <w:r>
        <w:rPr>
          <w:rFonts w:asciiTheme="minorEastAsia" w:hAnsiTheme="minorEastAsia" w:eastAsiaTheme="minorEastAsia"/>
          <w:color w:val="000000" w:themeColor="text1"/>
          <w:spacing w:val="5"/>
          <w:w w:val="94"/>
          <w:sz w:val="28"/>
          <w:szCs w:val="28"/>
        </w:rPr>
        <w:t>量管</w:t>
      </w:r>
      <w:r>
        <w:rPr>
          <w:rFonts w:asciiTheme="minorEastAsia" w:hAnsiTheme="minorEastAsia" w:eastAsiaTheme="minorEastAsia"/>
          <w:color w:val="000000" w:themeColor="text1"/>
          <w:spacing w:val="2"/>
          <w:w w:val="94"/>
          <w:sz w:val="28"/>
          <w:szCs w:val="28"/>
        </w:rPr>
        <w:t>理</w:t>
      </w:r>
      <w:r>
        <w:rPr>
          <w:rFonts w:asciiTheme="minorEastAsia" w:hAnsiTheme="minorEastAsia" w:eastAsiaTheme="minorEastAsia"/>
          <w:color w:val="000000" w:themeColor="text1"/>
          <w:w w:val="94"/>
          <w:sz w:val="28"/>
          <w:szCs w:val="28"/>
        </w:rPr>
        <w:t>情况</w:t>
      </w:r>
      <w:r>
        <w:rPr>
          <w:rFonts w:asciiTheme="minorEastAsia" w:hAnsiTheme="minorEastAsia" w:eastAsiaTheme="minorEastAsia"/>
          <w:color w:val="000000" w:themeColor="text1"/>
          <w:spacing w:val="2"/>
          <w:w w:val="94"/>
          <w:sz w:val="28"/>
          <w:szCs w:val="28"/>
        </w:rPr>
        <w:t>是公司</w:t>
      </w:r>
      <w:r>
        <w:rPr>
          <w:rFonts w:asciiTheme="minorEastAsia" w:hAnsiTheme="minorEastAsia" w:eastAsiaTheme="minorEastAsia"/>
          <w:color w:val="000000" w:themeColor="text1"/>
          <w:w w:val="94"/>
          <w:sz w:val="28"/>
          <w:szCs w:val="28"/>
        </w:rPr>
        <w:t>现</w:t>
      </w:r>
      <w:r>
        <w:rPr>
          <w:rFonts w:asciiTheme="minorEastAsia" w:hAnsiTheme="minorEastAsia" w:eastAsiaTheme="minorEastAsia"/>
          <w:color w:val="000000" w:themeColor="text1"/>
          <w:spacing w:val="7"/>
          <w:w w:val="94"/>
          <w:sz w:val="28"/>
          <w:szCs w:val="28"/>
        </w:rPr>
        <w:t>状的</w:t>
      </w:r>
      <w:r>
        <w:rPr>
          <w:rFonts w:asciiTheme="minorEastAsia" w:hAnsiTheme="minorEastAsia" w:eastAsiaTheme="minorEastAsia"/>
          <w:color w:val="000000" w:themeColor="text1"/>
          <w:w w:val="94"/>
          <w:sz w:val="28"/>
          <w:szCs w:val="28"/>
        </w:rPr>
        <w:t>真</w:t>
      </w:r>
      <w:r>
        <w:rPr>
          <w:rFonts w:asciiTheme="minorEastAsia" w:hAnsiTheme="minorEastAsia" w:eastAsiaTheme="minorEastAsia"/>
          <w:color w:val="000000" w:themeColor="text1"/>
          <w:spacing w:val="7"/>
          <w:w w:val="94"/>
          <w:sz w:val="28"/>
          <w:szCs w:val="28"/>
        </w:rPr>
        <w:t>实</w:t>
      </w:r>
      <w:r>
        <w:rPr>
          <w:rFonts w:asciiTheme="minorEastAsia" w:hAnsiTheme="minorEastAsia" w:eastAsiaTheme="minorEastAsia"/>
          <w:color w:val="000000" w:themeColor="text1"/>
          <w:w w:val="94"/>
          <w:sz w:val="28"/>
          <w:szCs w:val="28"/>
        </w:rPr>
        <w:t>反</w:t>
      </w:r>
      <w:r>
        <w:rPr>
          <w:rFonts w:asciiTheme="minorEastAsia" w:hAnsiTheme="minorEastAsia" w:eastAsiaTheme="minorEastAsia"/>
          <w:color w:val="000000" w:themeColor="text1"/>
          <w:spacing w:val="7"/>
          <w:w w:val="94"/>
          <w:sz w:val="28"/>
          <w:szCs w:val="28"/>
        </w:rPr>
        <w:t>映</w:t>
      </w:r>
      <w:r>
        <w:rPr>
          <w:rFonts w:asciiTheme="minorEastAsia" w:hAnsiTheme="minorEastAsia" w:eastAsiaTheme="minorEastAsia"/>
          <w:color w:val="000000" w:themeColor="text1"/>
          <w:spacing w:val="-48"/>
          <w:w w:val="94"/>
          <w:sz w:val="28"/>
          <w:szCs w:val="28"/>
        </w:rPr>
        <w:t>，</w:t>
      </w:r>
      <w:r>
        <w:rPr>
          <w:rFonts w:asciiTheme="minorEastAsia" w:hAnsiTheme="minorEastAsia" w:eastAsiaTheme="minorEastAsia"/>
          <w:color w:val="000000" w:themeColor="text1"/>
          <w:spacing w:val="5"/>
          <w:w w:val="94"/>
          <w:sz w:val="28"/>
          <w:szCs w:val="28"/>
        </w:rPr>
        <w:t>本</w:t>
      </w:r>
      <w:r>
        <w:rPr>
          <w:rFonts w:asciiTheme="minorEastAsia" w:hAnsiTheme="minorEastAsia" w:eastAsiaTheme="minorEastAsia"/>
          <w:color w:val="000000" w:themeColor="text1"/>
          <w:spacing w:val="7"/>
          <w:w w:val="94"/>
          <w:sz w:val="28"/>
          <w:szCs w:val="28"/>
        </w:rPr>
        <w:t>公</w:t>
      </w:r>
      <w:r>
        <w:rPr>
          <w:rFonts w:asciiTheme="minorEastAsia" w:hAnsiTheme="minorEastAsia" w:eastAsiaTheme="minorEastAsia"/>
          <w:color w:val="000000" w:themeColor="text1"/>
          <w:w w:val="94"/>
          <w:sz w:val="28"/>
          <w:szCs w:val="28"/>
        </w:rPr>
        <w:t>司</w:t>
      </w:r>
      <w:r>
        <w:rPr>
          <w:rFonts w:asciiTheme="minorEastAsia" w:hAnsiTheme="minorEastAsia" w:eastAsiaTheme="minorEastAsia"/>
          <w:color w:val="000000" w:themeColor="text1"/>
          <w:spacing w:val="7"/>
          <w:w w:val="94"/>
          <w:sz w:val="28"/>
          <w:szCs w:val="28"/>
        </w:rPr>
        <w:t>对</w:t>
      </w:r>
      <w:r>
        <w:rPr>
          <w:rFonts w:asciiTheme="minorEastAsia" w:hAnsiTheme="minorEastAsia" w:eastAsiaTheme="minorEastAsia"/>
          <w:color w:val="000000" w:themeColor="text1"/>
          <w:w w:val="94"/>
          <w:sz w:val="28"/>
          <w:szCs w:val="28"/>
        </w:rPr>
        <w:t>报</w:t>
      </w:r>
      <w:r>
        <w:rPr>
          <w:rFonts w:asciiTheme="minorEastAsia" w:hAnsiTheme="minorEastAsia" w:eastAsiaTheme="minorEastAsia"/>
          <w:color w:val="000000" w:themeColor="text1"/>
          <w:spacing w:val="7"/>
          <w:w w:val="94"/>
          <w:sz w:val="28"/>
          <w:szCs w:val="28"/>
        </w:rPr>
        <w:t>告</w:t>
      </w:r>
      <w:r>
        <w:rPr>
          <w:rFonts w:asciiTheme="minorEastAsia" w:hAnsiTheme="minorEastAsia" w:eastAsiaTheme="minorEastAsia"/>
          <w:color w:val="000000" w:themeColor="text1"/>
          <w:w w:val="94"/>
          <w:sz w:val="28"/>
          <w:szCs w:val="28"/>
        </w:rPr>
        <w:t>内</w:t>
      </w:r>
      <w:r>
        <w:rPr>
          <w:rFonts w:asciiTheme="minorEastAsia" w:hAnsiTheme="minorEastAsia" w:eastAsiaTheme="minorEastAsia"/>
          <w:color w:val="000000" w:themeColor="text1"/>
          <w:spacing w:val="6"/>
          <w:w w:val="94"/>
          <w:sz w:val="28"/>
          <w:szCs w:val="28"/>
        </w:rPr>
        <w:t>容</w:t>
      </w:r>
      <w:r>
        <w:rPr>
          <w:rFonts w:asciiTheme="minorEastAsia" w:hAnsiTheme="minorEastAsia" w:eastAsiaTheme="minorEastAsia"/>
          <w:color w:val="000000" w:themeColor="text1"/>
          <w:w w:val="94"/>
          <w:sz w:val="28"/>
          <w:szCs w:val="28"/>
        </w:rPr>
        <w:t>的</w:t>
      </w:r>
      <w:r>
        <w:rPr>
          <w:rFonts w:asciiTheme="minorEastAsia" w:hAnsiTheme="minorEastAsia" w:eastAsiaTheme="minorEastAsia"/>
          <w:color w:val="000000" w:themeColor="text1"/>
          <w:spacing w:val="7"/>
          <w:w w:val="94"/>
          <w:sz w:val="28"/>
          <w:szCs w:val="28"/>
        </w:rPr>
        <w:t>客观</w:t>
      </w:r>
      <w:r>
        <w:rPr>
          <w:rFonts w:asciiTheme="minorEastAsia" w:hAnsiTheme="minorEastAsia" w:eastAsiaTheme="minorEastAsia"/>
          <w:color w:val="000000" w:themeColor="text1"/>
          <w:w w:val="94"/>
          <w:sz w:val="28"/>
          <w:szCs w:val="28"/>
        </w:rPr>
        <w:t>性</w:t>
      </w:r>
      <w:r>
        <w:rPr>
          <w:rFonts w:asciiTheme="minorEastAsia" w:hAnsiTheme="minorEastAsia" w:eastAsiaTheme="minorEastAsia"/>
          <w:color w:val="000000" w:themeColor="text1"/>
          <w:spacing w:val="7"/>
          <w:w w:val="94"/>
          <w:sz w:val="28"/>
          <w:szCs w:val="28"/>
        </w:rPr>
        <w:t>负责</w:t>
      </w:r>
      <w:r>
        <w:rPr>
          <w:rFonts w:asciiTheme="minorEastAsia" w:hAnsiTheme="minorEastAsia" w:eastAsiaTheme="minorEastAsia"/>
          <w:color w:val="000000" w:themeColor="text1"/>
          <w:spacing w:val="-51"/>
          <w:w w:val="94"/>
          <w:sz w:val="28"/>
          <w:szCs w:val="28"/>
        </w:rPr>
        <w:t>，</w:t>
      </w:r>
      <w:r>
        <w:rPr>
          <w:rFonts w:asciiTheme="minorEastAsia" w:hAnsiTheme="minorEastAsia" w:eastAsiaTheme="minorEastAsia"/>
          <w:color w:val="000000" w:themeColor="text1"/>
          <w:spacing w:val="7"/>
          <w:w w:val="94"/>
          <w:sz w:val="28"/>
          <w:szCs w:val="28"/>
        </w:rPr>
        <w:t>对</w:t>
      </w:r>
      <w:r>
        <w:rPr>
          <w:rFonts w:asciiTheme="minorEastAsia" w:hAnsiTheme="minorEastAsia" w:eastAsiaTheme="minorEastAsia"/>
          <w:color w:val="000000" w:themeColor="text1"/>
          <w:w w:val="94"/>
          <w:sz w:val="28"/>
          <w:szCs w:val="28"/>
        </w:rPr>
        <w:t>相</w:t>
      </w:r>
      <w:r>
        <w:rPr>
          <w:rFonts w:asciiTheme="minorEastAsia" w:hAnsiTheme="minorEastAsia" w:eastAsiaTheme="minorEastAsia"/>
          <w:color w:val="000000" w:themeColor="text1"/>
          <w:spacing w:val="6"/>
          <w:w w:val="94"/>
          <w:sz w:val="28"/>
          <w:szCs w:val="28"/>
        </w:rPr>
        <w:t>关</w:t>
      </w:r>
      <w:r>
        <w:rPr>
          <w:rFonts w:asciiTheme="minorEastAsia" w:hAnsiTheme="minorEastAsia" w:eastAsiaTheme="minorEastAsia"/>
          <w:color w:val="000000" w:themeColor="text1"/>
          <w:spacing w:val="7"/>
          <w:w w:val="94"/>
          <w:sz w:val="28"/>
          <w:szCs w:val="28"/>
        </w:rPr>
        <w:t>论</w:t>
      </w:r>
      <w:r>
        <w:rPr>
          <w:rFonts w:asciiTheme="minorEastAsia" w:hAnsiTheme="minorEastAsia" w:eastAsiaTheme="minorEastAsia"/>
          <w:color w:val="000000" w:themeColor="text1"/>
          <w:w w:val="94"/>
          <w:sz w:val="28"/>
          <w:szCs w:val="28"/>
        </w:rPr>
        <w:t>述</w:t>
      </w:r>
      <w:r>
        <w:rPr>
          <w:rFonts w:asciiTheme="minorEastAsia" w:hAnsiTheme="minorEastAsia" w:eastAsiaTheme="minorEastAsia"/>
          <w:color w:val="000000" w:themeColor="text1"/>
          <w:spacing w:val="6"/>
          <w:w w:val="94"/>
          <w:sz w:val="28"/>
          <w:szCs w:val="28"/>
        </w:rPr>
        <w:t>和</w:t>
      </w:r>
      <w:r>
        <w:rPr>
          <w:rFonts w:asciiTheme="minorEastAsia" w:hAnsiTheme="minorEastAsia" w:eastAsiaTheme="minorEastAsia"/>
          <w:color w:val="000000" w:themeColor="text1"/>
          <w:w w:val="94"/>
          <w:sz w:val="28"/>
          <w:szCs w:val="28"/>
        </w:rPr>
        <w:t>结</w:t>
      </w:r>
      <w:r>
        <w:rPr>
          <w:rFonts w:asciiTheme="minorEastAsia" w:hAnsiTheme="minorEastAsia" w:eastAsiaTheme="minorEastAsia"/>
          <w:color w:val="000000" w:themeColor="text1"/>
          <w:spacing w:val="5"/>
          <w:w w:val="94"/>
          <w:sz w:val="28"/>
          <w:szCs w:val="28"/>
        </w:rPr>
        <w:t>论</w:t>
      </w:r>
      <w:r>
        <w:rPr>
          <w:rFonts w:asciiTheme="minorEastAsia" w:hAnsiTheme="minorEastAsia" w:eastAsiaTheme="minorEastAsia"/>
          <w:color w:val="000000" w:themeColor="text1"/>
          <w:spacing w:val="7"/>
          <w:w w:val="99"/>
          <w:sz w:val="28"/>
          <w:szCs w:val="28"/>
        </w:rPr>
        <w:t>真</w:t>
      </w:r>
      <w:r>
        <w:rPr>
          <w:rFonts w:asciiTheme="minorEastAsia" w:hAnsiTheme="minorEastAsia" w:eastAsiaTheme="minorEastAsia"/>
          <w:color w:val="000000" w:themeColor="text1"/>
          <w:w w:val="99"/>
          <w:sz w:val="28"/>
          <w:szCs w:val="28"/>
        </w:rPr>
        <w:t>实</w:t>
      </w:r>
      <w:r>
        <w:rPr>
          <w:rFonts w:asciiTheme="minorEastAsia" w:hAnsiTheme="minorEastAsia" w:eastAsiaTheme="minorEastAsia"/>
          <w:color w:val="000000" w:themeColor="text1"/>
          <w:spacing w:val="5"/>
          <w:w w:val="99"/>
          <w:sz w:val="28"/>
          <w:szCs w:val="28"/>
        </w:rPr>
        <w:t>性</w:t>
      </w:r>
      <w:r>
        <w:rPr>
          <w:rFonts w:asciiTheme="minorEastAsia" w:hAnsiTheme="minorEastAsia" w:eastAsiaTheme="minorEastAsia"/>
          <w:color w:val="000000" w:themeColor="text1"/>
          <w:w w:val="99"/>
          <w:sz w:val="28"/>
          <w:szCs w:val="28"/>
        </w:rPr>
        <w:t>和科</w:t>
      </w:r>
      <w:r>
        <w:rPr>
          <w:rFonts w:asciiTheme="minorEastAsia" w:hAnsiTheme="minorEastAsia" w:eastAsiaTheme="minorEastAsia"/>
          <w:color w:val="000000" w:themeColor="text1"/>
          <w:spacing w:val="-1"/>
          <w:w w:val="99"/>
          <w:sz w:val="28"/>
          <w:szCs w:val="28"/>
        </w:rPr>
        <w:t>学</w:t>
      </w:r>
      <w:r>
        <w:rPr>
          <w:rFonts w:asciiTheme="minorEastAsia" w:hAnsiTheme="minorEastAsia" w:eastAsiaTheme="minorEastAsia"/>
          <w:color w:val="000000" w:themeColor="text1"/>
          <w:spacing w:val="2"/>
          <w:w w:val="99"/>
          <w:sz w:val="28"/>
          <w:szCs w:val="28"/>
        </w:rPr>
        <w:t>性</w:t>
      </w:r>
      <w:r>
        <w:rPr>
          <w:rFonts w:asciiTheme="minorEastAsia" w:hAnsiTheme="minorEastAsia" w:eastAsiaTheme="minorEastAsia"/>
          <w:color w:val="000000" w:themeColor="text1"/>
          <w:w w:val="99"/>
          <w:sz w:val="28"/>
          <w:szCs w:val="28"/>
        </w:rPr>
        <w:t>负责。</w:t>
      </w:r>
      <w:r>
        <w:rPr>
          <w:rFonts w:hint="eastAsia" w:cs="宋体" w:asciiTheme="minorEastAsia" w:hAnsiTheme="minorEastAsia"/>
          <w:color w:val="000000" w:themeColor="text1"/>
          <w:kern w:val="0"/>
          <w:sz w:val="28"/>
          <w:szCs w:val="28"/>
        </w:rPr>
        <w:t>本报告内容真实可靠，不存在任何虚假记载及误导性陈述。</w:t>
      </w:r>
    </w:p>
    <w:p>
      <w:pPr>
        <w:widowControl/>
        <w:shd w:val="clear" w:color="auto" w:fill="FFFFFF"/>
        <w:spacing w:line="300" w:lineRule="atLeast"/>
        <w:rPr>
          <w:rFonts w:cs="宋体" w:asciiTheme="minorEastAsia" w:hAnsiTheme="minorEastAsia"/>
          <w:color w:val="000000" w:themeColor="text1"/>
          <w:kern w:val="0"/>
          <w:sz w:val="28"/>
          <w:szCs w:val="28"/>
        </w:rPr>
      </w:pPr>
      <w:r>
        <w:rPr>
          <w:rFonts w:cs="宋体" w:asciiTheme="minorEastAsia" w:hAnsiTheme="minorEastAsia"/>
          <w:color w:val="000000" w:themeColor="text1"/>
          <w:kern w:val="0"/>
          <w:sz w:val="28"/>
          <w:szCs w:val="28"/>
        </w:rPr>
        <w:t>报告组织范围</w:t>
      </w:r>
      <w:r>
        <w:rPr>
          <w:rFonts w:hint="eastAsia" w:cs="宋体" w:asciiTheme="minorEastAsia" w:hAnsiTheme="minorEastAsia"/>
          <w:color w:val="000000" w:themeColor="text1"/>
          <w:kern w:val="0"/>
          <w:sz w:val="28"/>
          <w:szCs w:val="28"/>
        </w:rPr>
        <w:t>：</w:t>
      </w:r>
      <w:r>
        <w:rPr>
          <w:rFonts w:hint="eastAsia" w:asciiTheme="minorEastAsia" w:hAnsiTheme="minorEastAsia" w:eastAsiaTheme="minorEastAsia"/>
          <w:color w:val="000000" w:themeColor="text1"/>
          <w:sz w:val="28"/>
          <w:szCs w:val="28"/>
        </w:rPr>
        <w:t xml:space="preserve">浙江慧琳工贸有限公司   </w:t>
      </w:r>
    </w:p>
    <w:p>
      <w:pPr>
        <w:widowControl/>
        <w:shd w:val="clear" w:color="auto" w:fill="FFFFFF"/>
        <w:spacing w:line="300" w:lineRule="atLeast"/>
        <w:rPr>
          <w:rFonts w:cs="宋体" w:asciiTheme="minorEastAsia" w:hAnsiTheme="minorEastAsia"/>
          <w:color w:val="000000" w:themeColor="text1"/>
          <w:kern w:val="0"/>
          <w:sz w:val="28"/>
          <w:szCs w:val="28"/>
        </w:rPr>
      </w:pPr>
      <w:r>
        <w:rPr>
          <w:rFonts w:cs="宋体" w:asciiTheme="minorEastAsia" w:hAnsiTheme="minorEastAsia"/>
          <w:color w:val="000000" w:themeColor="text1"/>
          <w:kern w:val="0"/>
          <w:sz w:val="28"/>
          <w:szCs w:val="28"/>
        </w:rPr>
        <w:t>报告时间范围</w:t>
      </w:r>
      <w:r>
        <w:rPr>
          <w:rFonts w:hint="eastAsia" w:cs="宋体" w:asciiTheme="minorEastAsia" w:hAnsiTheme="minorEastAsia"/>
          <w:color w:val="000000" w:themeColor="text1"/>
          <w:kern w:val="0"/>
          <w:sz w:val="28"/>
          <w:szCs w:val="28"/>
        </w:rPr>
        <w:t>：</w:t>
      </w:r>
      <w:r>
        <w:rPr>
          <w:rFonts w:cs="宋体" w:asciiTheme="minorEastAsia" w:hAnsiTheme="minorEastAsia"/>
          <w:color w:val="000000" w:themeColor="text1"/>
          <w:kern w:val="0"/>
          <w:sz w:val="28"/>
          <w:szCs w:val="28"/>
        </w:rPr>
        <w:t>202</w:t>
      </w:r>
      <w:r>
        <w:rPr>
          <w:rFonts w:hint="eastAsia" w:cs="宋体" w:asciiTheme="minorEastAsia" w:hAnsiTheme="minorEastAsia"/>
          <w:color w:val="000000" w:themeColor="text1"/>
          <w:kern w:val="0"/>
          <w:sz w:val="28"/>
          <w:szCs w:val="28"/>
        </w:rPr>
        <w:t>2</w:t>
      </w:r>
      <w:r>
        <w:rPr>
          <w:rFonts w:cs="宋体" w:asciiTheme="minorEastAsia" w:hAnsiTheme="minorEastAsia"/>
          <w:color w:val="000000" w:themeColor="text1"/>
          <w:kern w:val="0"/>
          <w:sz w:val="28"/>
          <w:szCs w:val="28"/>
        </w:rPr>
        <w:t>年1月1日至</w:t>
      </w:r>
      <w:r>
        <w:rPr>
          <w:rFonts w:hint="eastAsia" w:cs="宋体" w:asciiTheme="minorEastAsia" w:hAnsiTheme="minorEastAsia"/>
          <w:color w:val="000000" w:themeColor="text1"/>
          <w:kern w:val="0"/>
          <w:sz w:val="28"/>
          <w:szCs w:val="28"/>
        </w:rPr>
        <w:t>2022</w:t>
      </w:r>
      <w:r>
        <w:rPr>
          <w:rFonts w:cs="宋体" w:asciiTheme="minorEastAsia" w:hAnsiTheme="minorEastAsia"/>
          <w:color w:val="000000" w:themeColor="text1"/>
          <w:kern w:val="0"/>
          <w:sz w:val="28"/>
          <w:szCs w:val="28"/>
        </w:rPr>
        <w:t>年</w:t>
      </w:r>
      <w:r>
        <w:rPr>
          <w:rFonts w:hint="eastAsia" w:cs="宋体" w:asciiTheme="minorEastAsia" w:hAnsiTheme="minorEastAsia"/>
          <w:color w:val="000000" w:themeColor="text1"/>
          <w:kern w:val="0"/>
          <w:sz w:val="28"/>
          <w:szCs w:val="28"/>
        </w:rPr>
        <w:t>12</w:t>
      </w:r>
      <w:r>
        <w:rPr>
          <w:rFonts w:cs="宋体" w:asciiTheme="minorEastAsia" w:hAnsiTheme="minorEastAsia"/>
          <w:color w:val="000000" w:themeColor="text1"/>
          <w:kern w:val="0"/>
          <w:sz w:val="28"/>
          <w:szCs w:val="28"/>
        </w:rPr>
        <w:t>月3</w:t>
      </w:r>
      <w:r>
        <w:rPr>
          <w:rFonts w:hint="eastAsia" w:cs="宋体" w:asciiTheme="minorEastAsia" w:hAnsiTheme="minorEastAsia"/>
          <w:color w:val="000000" w:themeColor="text1"/>
          <w:kern w:val="0"/>
          <w:sz w:val="28"/>
          <w:szCs w:val="28"/>
        </w:rPr>
        <w:t>1</w:t>
      </w:r>
      <w:r>
        <w:rPr>
          <w:rFonts w:cs="宋体" w:asciiTheme="minorEastAsia" w:hAnsiTheme="minorEastAsia"/>
          <w:color w:val="000000" w:themeColor="text1"/>
          <w:kern w:val="0"/>
          <w:sz w:val="28"/>
          <w:szCs w:val="28"/>
        </w:rPr>
        <w:t>日</w:t>
      </w:r>
    </w:p>
    <w:p>
      <w:pPr>
        <w:widowControl/>
        <w:shd w:val="clear" w:color="auto" w:fill="FFFFFF"/>
        <w:spacing w:line="300" w:lineRule="atLeast"/>
        <w:rPr>
          <w:rFonts w:cs="宋体" w:asciiTheme="minorEastAsia" w:hAnsiTheme="minorEastAsia"/>
          <w:color w:val="000000" w:themeColor="text1"/>
          <w:kern w:val="0"/>
          <w:sz w:val="28"/>
          <w:szCs w:val="28"/>
        </w:rPr>
      </w:pPr>
      <w:r>
        <w:rPr>
          <w:rFonts w:cs="宋体" w:asciiTheme="minorEastAsia" w:hAnsiTheme="minorEastAsia"/>
          <w:color w:val="000000" w:themeColor="text1"/>
          <w:kern w:val="0"/>
          <w:sz w:val="28"/>
          <w:szCs w:val="28"/>
        </w:rPr>
        <w:t>报告发布周期</w:t>
      </w:r>
      <w:r>
        <w:rPr>
          <w:rFonts w:hint="eastAsia" w:cs="宋体" w:asciiTheme="minorEastAsia" w:hAnsiTheme="minorEastAsia"/>
          <w:color w:val="000000" w:themeColor="text1"/>
          <w:kern w:val="0"/>
          <w:sz w:val="28"/>
          <w:szCs w:val="28"/>
        </w:rPr>
        <w:t>：</w:t>
      </w:r>
      <w:r>
        <w:rPr>
          <w:rFonts w:cs="宋体" w:asciiTheme="minorEastAsia" w:hAnsiTheme="minorEastAsia"/>
          <w:color w:val="000000" w:themeColor="text1"/>
          <w:kern w:val="0"/>
          <w:sz w:val="28"/>
          <w:szCs w:val="28"/>
        </w:rPr>
        <w:t>年度报告</w:t>
      </w:r>
    </w:p>
    <w:p>
      <w:pPr>
        <w:widowControl/>
        <w:shd w:val="clear" w:color="auto" w:fill="FFFFFF"/>
        <w:spacing w:line="300" w:lineRule="atLeast"/>
        <w:rPr>
          <w:rFonts w:cs="宋体" w:asciiTheme="minorEastAsia" w:hAnsiTheme="minorEastAsia"/>
          <w:color w:val="000000" w:themeColor="text1"/>
          <w:kern w:val="0"/>
          <w:sz w:val="28"/>
          <w:szCs w:val="28"/>
        </w:rPr>
      </w:pPr>
      <w:r>
        <w:rPr>
          <w:rFonts w:cs="宋体" w:asciiTheme="minorEastAsia" w:hAnsiTheme="minorEastAsia"/>
          <w:color w:val="000000" w:themeColor="text1"/>
          <w:kern w:val="0"/>
          <w:sz w:val="28"/>
          <w:szCs w:val="28"/>
        </w:rPr>
        <w:t>报告数据说明</w:t>
      </w:r>
      <w:r>
        <w:rPr>
          <w:rFonts w:hint="eastAsia" w:cs="宋体" w:asciiTheme="minorEastAsia" w:hAnsiTheme="minorEastAsia"/>
          <w:color w:val="000000" w:themeColor="text1"/>
          <w:kern w:val="0"/>
          <w:sz w:val="28"/>
          <w:szCs w:val="28"/>
        </w:rPr>
        <w:t>：</w:t>
      </w:r>
      <w:r>
        <w:rPr>
          <w:rFonts w:cs="宋体" w:asciiTheme="minorEastAsia" w:hAnsiTheme="minorEastAsia"/>
          <w:color w:val="000000" w:themeColor="text1"/>
          <w:kern w:val="0"/>
          <w:sz w:val="28"/>
          <w:szCs w:val="28"/>
        </w:rPr>
        <w:t>本报告采用数据来自于浙江慧琳工贸有限公司    </w:t>
      </w:r>
    </w:p>
    <w:p>
      <w:pPr>
        <w:widowControl/>
        <w:shd w:val="clear" w:color="auto" w:fill="FFFFFF"/>
        <w:spacing w:line="300" w:lineRule="atLeast"/>
        <w:jc w:val="center"/>
        <w:rPr>
          <w:rFonts w:cs="宋体" w:asciiTheme="minorEastAsia" w:hAnsiTheme="minorEastAsia"/>
          <w:color w:val="000000" w:themeColor="text1"/>
          <w:kern w:val="0"/>
          <w:sz w:val="28"/>
          <w:szCs w:val="28"/>
        </w:rPr>
      </w:pPr>
      <w:r>
        <w:rPr>
          <w:rFonts w:cs="宋体" w:asciiTheme="minorEastAsia" w:hAnsiTheme="minorEastAsia"/>
          <w:color w:val="000000" w:themeColor="text1"/>
          <w:kern w:val="0"/>
          <w:sz w:val="28"/>
          <w:szCs w:val="28"/>
        </w:rPr>
        <w:t>报告获取形式</w:t>
      </w:r>
      <w:r>
        <w:rPr>
          <w:rFonts w:hint="eastAsia" w:cs="宋体" w:asciiTheme="minorEastAsia" w:hAnsiTheme="minorEastAsia"/>
          <w:color w:val="000000" w:themeColor="text1"/>
          <w:kern w:val="0"/>
          <w:sz w:val="28"/>
          <w:szCs w:val="28"/>
        </w:rPr>
        <w:t>：</w:t>
      </w:r>
      <w:r>
        <w:rPr>
          <w:rFonts w:cs="宋体" w:asciiTheme="minorEastAsia" w:hAnsiTheme="minorEastAsia"/>
          <w:color w:val="000000" w:themeColor="text1"/>
          <w:kern w:val="0"/>
          <w:sz w:val="28"/>
          <w:szCs w:val="28"/>
        </w:rPr>
        <w:t>本报告以电子文档形式发布，电子文档将发布于公司网站</w:t>
      </w:r>
    </w:p>
    <w:p>
      <w:pPr>
        <w:spacing w:line="432" w:lineRule="auto"/>
        <w:rPr>
          <w:rFonts w:asciiTheme="minorEastAsia" w:hAnsiTheme="minorEastAsia" w:eastAsiaTheme="minorEastAsia"/>
          <w:sz w:val="28"/>
          <w:szCs w:val="28"/>
        </w:rPr>
      </w:pPr>
      <w:r>
        <w:rPr>
          <w:rFonts w:ascii="宋体" w:hAnsi="宋体"/>
          <w:sz w:val="28"/>
          <w:szCs w:val="28"/>
        </w:rPr>
        <w:t>公司</w:t>
      </w:r>
      <w:r>
        <w:rPr>
          <w:rFonts w:hint="eastAsia" w:ascii="宋体" w:hAnsi="宋体"/>
          <w:sz w:val="28"/>
          <w:szCs w:val="28"/>
        </w:rPr>
        <w:t xml:space="preserve">地址：浙江省金华市金东区孝顺镇低田工业区浦莘路388号  </w:t>
      </w:r>
    </w:p>
    <w:p>
      <w:pPr>
        <w:spacing w:line="432"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联系人：</w:t>
      </w:r>
      <w:r>
        <w:rPr>
          <w:rFonts w:hint="eastAsia" w:ascii="宋体" w:hAnsi="宋体" w:cs="宋体"/>
          <w:sz w:val="28"/>
          <w:szCs w:val="28"/>
        </w:rPr>
        <w:t>曹文金</w:t>
      </w:r>
    </w:p>
    <w:p>
      <w:pPr>
        <w:spacing w:line="432" w:lineRule="auto"/>
        <w:rPr>
          <w:rFonts w:asciiTheme="minorEastAsia" w:hAnsiTheme="minorEastAsia" w:eastAsiaTheme="minorEastAsia"/>
          <w:sz w:val="28"/>
          <w:szCs w:val="28"/>
        </w:rPr>
      </w:pPr>
      <w:r>
        <w:rPr>
          <w:rFonts w:hint="eastAsia" w:asciiTheme="minorEastAsia" w:hAnsiTheme="minorEastAsia" w:eastAsiaTheme="minorEastAsia"/>
          <w:sz w:val="28"/>
          <w:szCs w:val="28"/>
        </w:rPr>
        <w:t>电话：</w:t>
      </w:r>
      <w:r>
        <w:rPr>
          <w:rFonts w:hint="eastAsia" w:ascii="宋体" w:hAnsi="宋体" w:cs="宋体"/>
          <w:sz w:val="28"/>
          <w:szCs w:val="28"/>
        </w:rPr>
        <w:t xml:space="preserve">13868966885 </w:t>
      </w:r>
    </w:p>
    <w:p>
      <w:pPr>
        <w:spacing w:line="432" w:lineRule="auto"/>
        <w:rPr>
          <w:rStyle w:val="101"/>
          <w:rFonts w:ascii="宋体" w:hAnsi="宋体"/>
          <w:bCs w:val="0"/>
          <w:color w:val="000000" w:themeColor="text1"/>
          <w:sz w:val="28"/>
          <w:szCs w:val="28"/>
        </w:rPr>
      </w:pPr>
      <w:r>
        <w:rPr>
          <w:rFonts w:hint="eastAsia" w:asciiTheme="minorEastAsia" w:hAnsiTheme="minorEastAsia" w:eastAsiaTheme="minorEastAsia"/>
          <w:sz w:val="28"/>
          <w:szCs w:val="28"/>
        </w:rPr>
        <w:t>网址：www.hlgongmao.com</w:t>
      </w:r>
    </w:p>
    <w:p>
      <w:pPr>
        <w:widowControl/>
        <w:spacing w:line="276" w:lineRule="auto"/>
        <w:jc w:val="left"/>
        <w:rPr>
          <w:rFonts w:asciiTheme="minorEastAsia" w:hAnsiTheme="minorEastAsia" w:eastAsiaTheme="minorEastAsia"/>
          <w:color w:val="000000" w:themeColor="text1"/>
          <w:sz w:val="36"/>
          <w:szCs w:val="36"/>
        </w:rPr>
      </w:pPr>
    </w:p>
    <w:p>
      <w:pPr>
        <w:ind w:right="-58"/>
        <w:rPr>
          <w:rFonts w:asciiTheme="minorEastAsia" w:hAnsiTheme="minorEastAsia" w:eastAsiaTheme="minorEastAsia"/>
          <w:color w:val="000000" w:themeColor="text1"/>
          <w:sz w:val="36"/>
          <w:szCs w:val="36"/>
        </w:rPr>
      </w:pPr>
    </w:p>
    <w:p>
      <w:pPr>
        <w:ind w:right="-58"/>
        <w:rPr>
          <w:rFonts w:asciiTheme="minorEastAsia" w:hAnsiTheme="minorEastAsia" w:eastAsiaTheme="minorEastAsia"/>
          <w:color w:val="000000" w:themeColor="text1"/>
          <w:sz w:val="36"/>
          <w:szCs w:val="36"/>
        </w:rPr>
      </w:pPr>
    </w:p>
    <w:p>
      <w:pPr>
        <w:ind w:right="-58"/>
        <w:rPr>
          <w:rFonts w:asciiTheme="minorEastAsia" w:hAnsiTheme="minorEastAsia" w:eastAsiaTheme="minorEastAsia"/>
          <w:color w:val="000000" w:themeColor="text1"/>
          <w:sz w:val="36"/>
          <w:szCs w:val="36"/>
        </w:rPr>
      </w:pPr>
    </w:p>
    <w:p>
      <w:pPr>
        <w:ind w:right="-58"/>
        <w:rPr>
          <w:rStyle w:val="92"/>
          <w:rFonts w:hint="default"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1.2</w:t>
      </w:r>
      <w:r>
        <w:rPr>
          <w:rFonts w:asciiTheme="minorEastAsia" w:hAnsiTheme="minorEastAsia" w:eastAsiaTheme="minorEastAsia"/>
          <w:b/>
          <w:color w:val="000000" w:themeColor="text1"/>
          <w:sz w:val="28"/>
          <w:szCs w:val="28"/>
        </w:rPr>
        <w:t>总经理致辞</w:t>
      </w:r>
    </w:p>
    <w:p>
      <w:pPr>
        <w:pStyle w:val="104"/>
        <w:spacing w:before="156" w:after="156"/>
        <w:ind w:firstLine="560"/>
        <w:rPr>
          <w:rStyle w:val="92"/>
          <w:rFonts w:hint="default" w:ascii="Times New Roman" w:hAnsi="Times New Roman"/>
          <w:color w:val="000000" w:themeColor="text1"/>
          <w:sz w:val="28"/>
          <w:szCs w:val="28"/>
        </w:rPr>
      </w:pPr>
      <w:r>
        <w:rPr>
          <w:rStyle w:val="92"/>
          <w:rFonts w:hint="default" w:ascii="Times New Roman" w:hAnsi="Times New Roman"/>
          <w:color w:val="000000" w:themeColor="text1"/>
          <w:sz w:val="28"/>
          <w:szCs w:val="28"/>
        </w:rPr>
        <w:t>诚信是做企业的基本准则，</w:t>
      </w:r>
      <w:r>
        <w:rPr>
          <w:rFonts w:hint="eastAsia"/>
          <w:color w:val="000000" w:themeColor="text1"/>
          <w:sz w:val="28"/>
          <w:szCs w:val="28"/>
        </w:rPr>
        <w:t>浙江慧琳工贸有限公司</w:t>
      </w:r>
      <w:r>
        <w:rPr>
          <w:rStyle w:val="92"/>
          <w:rFonts w:hint="default" w:ascii="Times New Roman" w:hAnsi="Times New Roman"/>
          <w:color w:val="000000" w:themeColor="text1"/>
          <w:sz w:val="28"/>
          <w:szCs w:val="28"/>
        </w:rPr>
        <w:t>致力于为公司价值链上的所有参与者创造公平、透明、开放的环境和企业文化。</w:t>
      </w:r>
    </w:p>
    <w:p>
      <w:pPr>
        <w:pStyle w:val="104"/>
        <w:spacing w:before="156" w:after="156"/>
        <w:ind w:firstLine="560"/>
        <w:rPr>
          <w:sz w:val="28"/>
          <w:szCs w:val="28"/>
        </w:rPr>
      </w:pPr>
      <w:r>
        <w:rPr>
          <w:rFonts w:hint="eastAsia"/>
          <w:sz w:val="28"/>
          <w:szCs w:val="28"/>
        </w:rPr>
        <w:t>公司</w:t>
      </w:r>
      <w:r>
        <w:rPr>
          <w:rFonts w:hint="eastAsia" w:ascii="宋体" w:hAnsi="宋体"/>
          <w:sz w:val="28"/>
          <w:szCs w:val="28"/>
        </w:rPr>
        <w:t>是一家专业生产发夹、抓夹、精梳的美发饰品企业</w:t>
      </w:r>
      <w:r>
        <w:rPr>
          <w:rFonts w:hint="eastAsia"/>
          <w:sz w:val="28"/>
          <w:szCs w:val="28"/>
        </w:rPr>
        <w:t>。</w:t>
      </w:r>
    </w:p>
    <w:p>
      <w:pPr>
        <w:pStyle w:val="104"/>
        <w:spacing w:before="156" w:after="156"/>
        <w:ind w:firstLine="56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现代经济社会中，诚信不仅是一种道德规范，也是能够为企业带来经济效益的重要资源，质量诚信更是赢取客户的核心要素，企业文化要求全体员工讲诚信，以诚立身，塑造诚信文化，提升企业核心竞争力，努力打造最受顾客欢迎的生产企业。</w:t>
      </w:r>
    </w:p>
    <w:p>
      <w:pPr>
        <w:spacing w:line="360" w:lineRule="auto"/>
        <w:rPr>
          <w:rFonts w:ascii="宋体" w:hAnsi="宋体"/>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rPr>
          <w:rFonts w:cs="仿宋_GB2312" w:asciiTheme="minorEastAsia" w:hAnsiTheme="minorEastAsia" w:eastAsiaTheme="minorEastAsia"/>
          <w:color w:val="000000" w:themeColor="text1"/>
          <w:sz w:val="28"/>
          <w:szCs w:val="28"/>
        </w:rPr>
      </w:pPr>
    </w:p>
    <w:p>
      <w:pPr>
        <w:spacing w:line="360" w:lineRule="auto"/>
        <w:ind w:firstLine="4200" w:firstLineChars="1500"/>
        <w:rPr>
          <w:rFonts w:cs="仿宋_GB2312" w:asciiTheme="minorEastAsia" w:hAnsiTheme="minorEastAsia" w:eastAsiaTheme="minorEastAsia"/>
          <w:color w:val="000000" w:themeColor="text1"/>
          <w:sz w:val="28"/>
          <w:szCs w:val="28"/>
        </w:rPr>
      </w:pPr>
      <w:r>
        <w:rPr>
          <w:rFonts w:hint="eastAsia" w:ascii="宋体" w:hAnsi="宋体"/>
          <w:sz w:val="28"/>
          <w:szCs w:val="28"/>
        </w:rPr>
        <w:t xml:space="preserve">浙江慧琳工贸有限公司   </w:t>
      </w:r>
    </w:p>
    <w:p>
      <w:pPr>
        <w:spacing w:line="360" w:lineRule="auto"/>
        <w:ind w:firstLine="3920" w:firstLineChars="1400"/>
        <w:rPr>
          <w:rFonts w:cs="仿宋_GB2312" w:asciiTheme="minorEastAsia" w:hAnsiTheme="minorEastAsia" w:eastAsiaTheme="minorEastAsia"/>
          <w:color w:val="000000" w:themeColor="text1"/>
          <w:sz w:val="28"/>
          <w:szCs w:val="28"/>
        </w:rPr>
      </w:pPr>
    </w:p>
    <w:p>
      <w:pPr>
        <w:spacing w:line="360" w:lineRule="auto"/>
        <w:ind w:firstLine="4200" w:firstLineChars="15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总经理（签名）：</w:t>
      </w:r>
    </w:p>
    <w:p>
      <w:pPr>
        <w:spacing w:line="360" w:lineRule="auto"/>
        <w:ind w:firstLine="4480" w:firstLineChars="1600"/>
        <w:rPr>
          <w:rFonts w:cs="仿宋_GB2312" w:asciiTheme="minorEastAsia" w:hAnsiTheme="minorEastAsia" w:eastAsiaTheme="minorEastAsia"/>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bookmarkStart w:id="1" w:name="_Toc451594565"/>
      <w:bookmarkStart w:id="2" w:name="_Toc451594566"/>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1.3公司简介</w:t>
      </w:r>
      <w:bookmarkEnd w:id="1"/>
    </w:p>
    <w:p>
      <w:pPr>
        <w:pStyle w:val="104"/>
        <w:spacing w:before="156" w:after="156"/>
        <w:ind w:firstLine="560"/>
        <w:rPr>
          <w:rFonts w:ascii="宋体" w:hAnsi="宋体"/>
          <w:sz w:val="28"/>
          <w:szCs w:val="28"/>
        </w:rPr>
      </w:pPr>
      <w:r>
        <w:rPr>
          <w:rFonts w:hint="eastAsia" w:ascii="宋体" w:hAnsi="宋体"/>
          <w:sz w:val="28"/>
          <w:szCs w:val="28"/>
        </w:rPr>
        <w:t>浙江慧琳工贸有限公司落在浙江省金华市金东区孝顺镇低田工业区浦莘路388号，是一家专业生产发夹、抓夹、精梳的美发饰品企业，公司拥有优秀的管理和营销团队；凭借精湛的技术和卓越的品质，慧琳致力于成为客户传递产品价值的信息桥梁，以跨界思维引领行业发展的未来。</w:t>
      </w:r>
    </w:p>
    <w:p>
      <w:pPr>
        <w:pStyle w:val="104"/>
        <w:spacing w:before="156" w:after="156"/>
        <w:ind w:firstLine="560"/>
        <w:rPr>
          <w:sz w:val="28"/>
          <w:szCs w:val="28"/>
        </w:rPr>
      </w:pPr>
      <w:r>
        <w:rPr>
          <w:rFonts w:hint="eastAsia"/>
          <w:sz w:val="28"/>
          <w:szCs w:val="28"/>
        </w:rPr>
        <w:t>公司自成立以来，引进和研发了数台全自动一字发夹生产流水线。公司产品紧跟国际潮流，引导流行时尚。产品款式新颖、品质优良、性价比高，赢得国内外客户的信赖和支持。同时热烈期盼新客户在不久的将来也会与我们建立深厚的友谊。</w:t>
      </w:r>
    </w:p>
    <w:p>
      <w:pPr>
        <w:pStyle w:val="104"/>
        <w:spacing w:before="156" w:after="156"/>
        <w:ind w:firstLine="560"/>
        <w:rPr>
          <w:sz w:val="28"/>
          <w:szCs w:val="28"/>
        </w:rPr>
      </w:pPr>
      <w:r>
        <w:rPr>
          <w:rFonts w:hint="eastAsia"/>
          <w:sz w:val="28"/>
          <w:szCs w:val="28"/>
        </w:rPr>
        <w:t>本公司承接外贸定单和来样定做。主要生产各式发夹、抓夹、发梳等。产品远销欧美、日韩、中东等国家和地区，受到了消费者的一致青睐。</w:t>
      </w:r>
    </w:p>
    <w:p>
      <w:pPr>
        <w:pStyle w:val="104"/>
        <w:spacing w:before="156" w:after="156"/>
        <w:ind w:firstLine="560"/>
        <w:rPr>
          <w:sz w:val="28"/>
          <w:szCs w:val="28"/>
        </w:rPr>
      </w:pPr>
      <w:r>
        <w:rPr>
          <w:rFonts w:hint="eastAsia"/>
          <w:sz w:val="28"/>
          <w:szCs w:val="28"/>
        </w:rPr>
        <w:t>公司坚持“诚信为本、品质卓越、不断创新、稳步发展”的经营方针，以提升客户价值为己任。守信用的服务态度，创新的营销模式，先进的经营理念，让慧琳工贸在行业内赢得了广阔的天地，努力将慧琳打造成为行业智能生产的典范。</w:t>
      </w:r>
    </w:p>
    <w:p>
      <w:pPr>
        <w:pStyle w:val="104"/>
        <w:spacing w:before="156" w:after="156"/>
        <w:ind w:firstLine="560"/>
        <w:rPr>
          <w:sz w:val="28"/>
          <w:szCs w:val="28"/>
        </w:rPr>
      </w:pPr>
      <w:r>
        <w:rPr>
          <w:rFonts w:hint="eastAsia"/>
          <w:sz w:val="28"/>
          <w:szCs w:val="28"/>
        </w:rPr>
        <w:t>慧琳的产品研发遵循环保节能的理念，拥有完整的生产链。</w:t>
      </w:r>
    </w:p>
    <w:p>
      <w:pPr>
        <w:pStyle w:val="104"/>
        <w:spacing w:before="156" w:after="156"/>
        <w:ind w:firstLine="560"/>
        <w:rPr>
          <w:rFonts w:asciiTheme="minorEastAsia" w:hAnsiTheme="minorEastAsia" w:eastAsiaTheme="minorEastAsia"/>
          <w:color w:val="000000" w:themeColor="text1"/>
          <w:sz w:val="28"/>
          <w:szCs w:val="28"/>
        </w:rPr>
      </w:pPr>
      <w:r>
        <w:rPr>
          <w:rFonts w:hint="eastAsia"/>
          <w:sz w:val="28"/>
          <w:szCs w:val="28"/>
        </w:rPr>
        <w:t>公司拥有多项专利技术和荣获国家高新企业称号，我们将继续为客户提供更优秀的产品和服务，我们相信，我们与您的事业伙伴关系会越来越密切。</w:t>
      </w:r>
    </w:p>
    <w:p>
      <w:pPr>
        <w:spacing w:line="432" w:lineRule="auto"/>
        <w:rPr>
          <w:rFonts w:asciiTheme="majorEastAsia" w:hAnsiTheme="majorEastAsia" w:eastAsiaTheme="majorEastAsia"/>
          <w:color w:val="000000" w:themeColor="text1"/>
          <w:sz w:val="28"/>
          <w:szCs w:val="28"/>
        </w:rPr>
      </w:pPr>
    </w:p>
    <w:p>
      <w:pPr>
        <w:spacing w:line="432" w:lineRule="auto"/>
        <w:rPr>
          <w:rFonts w:asciiTheme="majorEastAsia" w:hAnsiTheme="majorEastAsia" w:eastAsiaTheme="majorEastAsia"/>
          <w:color w:val="000000" w:themeColor="text1"/>
          <w:sz w:val="28"/>
          <w:szCs w:val="28"/>
        </w:rPr>
      </w:pPr>
    </w:p>
    <w:p>
      <w:pPr>
        <w:spacing w:line="432" w:lineRule="auto"/>
        <w:rPr>
          <w:rFonts w:asciiTheme="majorEastAsia" w:hAnsiTheme="majorEastAsia" w:eastAsiaTheme="majorEastAsia"/>
          <w:color w:val="000000" w:themeColor="text1"/>
          <w:sz w:val="28"/>
          <w:szCs w:val="28"/>
        </w:rPr>
      </w:pPr>
      <w:r>
        <w:rPr>
          <w:rFonts w:hint="eastAsia" w:asciiTheme="majorEastAsia" w:hAnsiTheme="majorEastAsia" w:eastAsiaTheme="majorEastAsia"/>
          <w:color w:val="000000" w:themeColor="text1"/>
          <w:sz w:val="28"/>
          <w:szCs w:val="28"/>
        </w:rPr>
        <w:t xml:space="preserve">地   址：浙江省金华市金东区孝顺镇低田工业区浦莘路388号  </w:t>
      </w:r>
    </w:p>
    <w:p>
      <w:pPr>
        <w:spacing w:line="432" w:lineRule="auto"/>
        <w:rPr>
          <w:rFonts w:asciiTheme="majorEastAsia" w:hAnsiTheme="majorEastAsia" w:eastAsiaTheme="majorEastAsia"/>
          <w:color w:val="000000" w:themeColor="text1"/>
          <w:sz w:val="28"/>
          <w:szCs w:val="28"/>
        </w:rPr>
      </w:pPr>
      <w:r>
        <w:rPr>
          <w:rFonts w:hint="eastAsia" w:asciiTheme="majorEastAsia" w:hAnsiTheme="majorEastAsia" w:eastAsiaTheme="majorEastAsia"/>
          <w:color w:val="000000" w:themeColor="text1"/>
          <w:sz w:val="28"/>
          <w:szCs w:val="28"/>
        </w:rPr>
        <w:t>联系人：</w:t>
      </w:r>
      <w:r>
        <w:rPr>
          <w:rFonts w:hint="eastAsia" w:ascii="宋体" w:hAnsi="宋体" w:cs="宋体"/>
          <w:sz w:val="28"/>
          <w:szCs w:val="28"/>
        </w:rPr>
        <w:t>曹文金</w:t>
      </w:r>
    </w:p>
    <w:p>
      <w:pPr>
        <w:spacing w:line="432" w:lineRule="auto"/>
        <w:rPr>
          <w:rFonts w:asciiTheme="majorEastAsia" w:hAnsiTheme="majorEastAsia" w:eastAsiaTheme="majorEastAsia"/>
          <w:color w:val="000000" w:themeColor="text1"/>
          <w:sz w:val="28"/>
          <w:szCs w:val="28"/>
        </w:rPr>
      </w:pPr>
      <w:r>
        <w:rPr>
          <w:rFonts w:hint="eastAsia" w:asciiTheme="majorEastAsia" w:hAnsiTheme="majorEastAsia" w:eastAsiaTheme="majorEastAsia"/>
          <w:color w:val="000000" w:themeColor="text1"/>
          <w:sz w:val="28"/>
          <w:szCs w:val="28"/>
        </w:rPr>
        <w:t>电  话：</w:t>
      </w:r>
      <w:r>
        <w:rPr>
          <w:rFonts w:hint="eastAsia" w:ascii="宋体" w:hAnsi="宋体" w:cs="宋体"/>
          <w:sz w:val="28"/>
          <w:szCs w:val="28"/>
        </w:rPr>
        <w:t>13868966885</w:t>
      </w:r>
      <w:r>
        <w:rPr>
          <w:rFonts w:hint="eastAsia" w:asciiTheme="majorEastAsia" w:hAnsiTheme="majorEastAsia" w:eastAsiaTheme="majorEastAsia"/>
          <w:color w:val="000000" w:themeColor="text1"/>
          <w:sz w:val="28"/>
          <w:szCs w:val="28"/>
        </w:rPr>
        <w:t xml:space="preserve"> </w:t>
      </w:r>
    </w:p>
    <w:p>
      <w:pPr>
        <w:spacing w:line="432" w:lineRule="auto"/>
        <w:rPr>
          <w:rFonts w:asciiTheme="majorEastAsia" w:hAnsiTheme="majorEastAsia" w:eastAsiaTheme="majorEastAsia"/>
          <w:b/>
          <w:color w:val="000000" w:themeColor="text1"/>
          <w:sz w:val="28"/>
          <w:szCs w:val="28"/>
        </w:rPr>
      </w:pPr>
      <w:r>
        <w:rPr>
          <w:rFonts w:hint="eastAsia" w:asciiTheme="majorEastAsia" w:hAnsiTheme="majorEastAsia" w:eastAsiaTheme="majorEastAsia"/>
          <w:color w:val="000000" w:themeColor="text1"/>
          <w:sz w:val="28"/>
          <w:szCs w:val="28"/>
        </w:rPr>
        <w:t>网  址：</w:t>
      </w:r>
      <w:r>
        <w:rPr>
          <w:rFonts w:hint="eastAsia" w:ascii="宋体" w:hAnsi="宋体"/>
          <w:sz w:val="28"/>
          <w:szCs w:val="28"/>
        </w:rPr>
        <w:t>www.hlgongmao.com</w:t>
      </w:r>
    </w:p>
    <w:p>
      <w:pPr>
        <w:pStyle w:val="104"/>
        <w:spacing w:before="156" w:after="156"/>
        <w:ind w:firstLine="0" w:firstLineChars="0"/>
        <w:rPr>
          <w:rFonts w:ascii="宋体" w:hAnsi="宋体"/>
          <w:sz w:val="28"/>
          <w:szCs w:val="28"/>
        </w:rPr>
      </w:pPr>
    </w:p>
    <w:p>
      <w:pPr>
        <w:spacing w:line="276" w:lineRule="auto"/>
        <w:jc w:val="center"/>
        <w:outlineLvl w:val="0"/>
        <w:rPr>
          <w:rFonts w:asciiTheme="minorEastAsia" w:hAnsiTheme="minorEastAsia" w:eastAsiaTheme="minorEastAsia"/>
          <w:b/>
          <w:color w:val="000000" w:themeColor="text1"/>
          <w:sz w:val="36"/>
          <w:szCs w:val="36"/>
        </w:rPr>
      </w:pPr>
      <w:r>
        <w:rPr>
          <w:rFonts w:cs="宋体" w:asciiTheme="minorEastAsia" w:hAnsiTheme="minorEastAsia" w:eastAsiaTheme="minorEastAsia"/>
          <w:kern w:val="0"/>
          <w:sz w:val="36"/>
          <w:szCs w:val="36"/>
        </w:rPr>
        <w:t>第二部分：报告正文</w:t>
      </w: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2.1企业质量理念</w:t>
      </w:r>
      <w:bookmarkEnd w:id="2"/>
    </w:p>
    <w:p>
      <w:pPr>
        <w:spacing w:line="360" w:lineRule="auto"/>
        <w:ind w:firstLine="840" w:firstLineChars="3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 xml:space="preserve">公司自创立至今，便致力于产品质量的管控。始终秉持产品质量是企业生存和发展的基石，是占领市场和赢得顾客的先决条件，质量源自于我心，企业依存于顾客的质量理念，不断的完善和提升公司的质量管理水平。       </w:t>
      </w:r>
    </w:p>
    <w:p>
      <w:pPr>
        <w:spacing w:line="360" w:lineRule="auto"/>
        <w:ind w:firstLine="840" w:firstLineChars="300"/>
        <w:rPr>
          <w:rFonts w:ascii="宋体" w:hAnsi="宋体"/>
          <w:b/>
          <w:sz w:val="28"/>
          <w:szCs w:val="28"/>
          <w:u w:val="single"/>
        </w:rPr>
      </w:pPr>
      <w:r>
        <w:rPr>
          <w:rFonts w:hint="eastAsia" w:cs="仿宋_GB2312" w:asciiTheme="minorEastAsia" w:hAnsiTheme="minorEastAsia" w:eastAsiaTheme="minorEastAsia"/>
          <w:color w:val="000000" w:themeColor="text1"/>
          <w:sz w:val="28"/>
          <w:szCs w:val="28"/>
        </w:rPr>
        <w:t>公司自从通过质量管理体系认证公司始终坚持：“</w:t>
      </w:r>
      <w:r>
        <w:rPr>
          <w:rFonts w:hint="eastAsia" w:asciiTheme="minorEastAsia" w:hAnsiTheme="minorEastAsia" w:eastAsiaTheme="minorEastAsia"/>
          <w:b/>
          <w:color w:val="000000" w:themeColor="text1"/>
          <w:sz w:val="28"/>
          <w:szCs w:val="28"/>
          <w:u w:val="single"/>
        </w:rPr>
        <w:t>质量至上，追求卓越，持续改进，顾客满意</w:t>
      </w:r>
      <w:r>
        <w:rPr>
          <w:rFonts w:hint="eastAsia" w:asciiTheme="minorEastAsia" w:hAnsiTheme="minorEastAsia" w:eastAsiaTheme="minorEastAsia"/>
          <w:b/>
          <w:sz w:val="28"/>
          <w:szCs w:val="28"/>
          <w:u w:val="single"/>
        </w:rPr>
        <w:t>。</w:t>
      </w:r>
      <w:r>
        <w:rPr>
          <w:rFonts w:hint="eastAsia" w:cs="仿宋_GB2312" w:asciiTheme="minorEastAsia" w:hAnsiTheme="minorEastAsia" w:eastAsiaTheme="minorEastAsia"/>
          <w:color w:val="000000" w:themeColor="text1"/>
          <w:sz w:val="28"/>
          <w:szCs w:val="28"/>
        </w:rPr>
        <w:t>”的质量方针，严格按法律法规要求、质量管理体系标准要求、管理手册要求、程序文件要求等执行，使企业的质量管理体系得到有效运行，使产品质量得到有力的保障和不断的提升，从而使企业各项质量目标基本得以达成。为从根本上加强和提升质量管理，提高公司经营质量，公司更以卓越绩效模式的导入为契机，推行全面质量管理，运用项目管理，通过内部审核、自我评价、第二方审核、第三方审核或评价、质量月等活动，不断寻找改进的机会改进质量管理，逐步实现卓越绩效。公司自建立以来，公司从未出现过重大质量投诉，在历年接受各级质量技术部门的抽检中，合格率均达100%。</w:t>
      </w:r>
      <w:r>
        <w:rPr>
          <w:rFonts w:hint="eastAsia"/>
          <w:sz w:val="28"/>
          <w:szCs w:val="28"/>
        </w:rPr>
        <w:t>我们将通过团队建设与合作，集中和充分利用有限的资源对企业经营的各个方面持续改进，为客户创造价值</w:t>
      </w:r>
      <w:r>
        <w:rPr>
          <w:rFonts w:hint="eastAsia" w:ascii="宋体"/>
          <w:bCs/>
          <w:color w:val="000000"/>
          <w:sz w:val="28"/>
          <w:szCs w:val="28"/>
        </w:rPr>
        <w:t>。公司的</w:t>
      </w:r>
      <w:r>
        <w:rPr>
          <w:rFonts w:hint="eastAsia" w:cs="仿宋_GB2312" w:asciiTheme="minorEastAsia" w:hAnsiTheme="minorEastAsia" w:eastAsiaTheme="minorEastAsia"/>
          <w:color w:val="000000" w:themeColor="text1"/>
          <w:sz w:val="28"/>
          <w:szCs w:val="28"/>
        </w:rPr>
        <w:t>核心价值观：</w:t>
      </w:r>
      <w:r>
        <w:rPr>
          <w:rFonts w:hint="eastAsia" w:ascii="宋体" w:hAnsi="宋体"/>
          <w:b/>
          <w:sz w:val="28"/>
          <w:szCs w:val="28"/>
          <w:u w:val="single"/>
        </w:rPr>
        <w:t>聚焦、创新、坚守、共赢。</w:t>
      </w:r>
      <w:bookmarkStart w:id="3" w:name="_Toc451594567"/>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p>
    <w:p>
      <w:pPr>
        <w:spacing w:line="276" w:lineRule="auto"/>
        <w:outlineLvl w:val="0"/>
        <w:rPr>
          <w:rFonts w:asciiTheme="minorEastAsia" w:hAnsiTheme="minorEastAsia" w:eastAsiaTheme="minorEastAsia"/>
          <w:b/>
          <w:color w:val="000000" w:themeColor="text1"/>
          <w:sz w:val="28"/>
          <w:szCs w:val="28"/>
        </w:rPr>
      </w:pPr>
      <w:r>
        <w:rPr>
          <w:rFonts w:hint="eastAsia" w:asciiTheme="minorEastAsia" w:hAnsiTheme="minorEastAsia" w:eastAsiaTheme="minorEastAsia"/>
          <w:b/>
          <w:color w:val="000000" w:themeColor="text1"/>
          <w:sz w:val="28"/>
          <w:szCs w:val="28"/>
        </w:rPr>
        <w:t>2.2企业质量管理</w:t>
      </w:r>
      <w:bookmarkEnd w:id="3"/>
    </w:p>
    <w:p>
      <w:pPr>
        <w:spacing w:line="360" w:lineRule="auto"/>
        <w:outlineLvl w:val="3"/>
        <w:rPr>
          <w:rFonts w:ascii="宋体" w:hAnsi="宋体"/>
          <w:b/>
          <w:sz w:val="28"/>
          <w:szCs w:val="28"/>
        </w:rPr>
      </w:pPr>
      <w:r>
        <w:rPr>
          <w:rFonts w:hint="eastAsia" w:asciiTheme="minorEastAsia" w:hAnsiTheme="minorEastAsia" w:eastAsiaTheme="minorEastAsia"/>
          <w:b/>
          <w:sz w:val="28"/>
          <w:szCs w:val="28"/>
        </w:rPr>
        <w:t>2.2.1</w:t>
      </w:r>
      <w:r>
        <w:rPr>
          <w:rFonts w:hint="eastAsia" w:ascii="宋体" w:hAnsi="宋体"/>
          <w:b/>
          <w:sz w:val="28"/>
          <w:szCs w:val="28"/>
        </w:rPr>
        <w:t>总则</w:t>
      </w:r>
    </w:p>
    <w:p>
      <w:pPr>
        <w:spacing w:line="360" w:lineRule="auto"/>
        <w:ind w:firstLine="560" w:firstLineChars="200"/>
        <w:jc w:val="left"/>
        <w:rPr>
          <w:sz w:val="28"/>
          <w:szCs w:val="28"/>
        </w:rPr>
      </w:pPr>
      <w:r>
        <w:rPr>
          <w:rFonts w:hint="eastAsia"/>
          <w:sz w:val="28"/>
          <w:szCs w:val="28"/>
        </w:rPr>
        <w:t>公司规定了一体化管理体系要求，组建质量管理班子，确保质量管理层层落实到位。向顾客、相关方和第三方证实本公司具备提供质量诚信产品和质量诚信服务的质量诚信经营保证能力，做到诚信研发、诚信生产、诚信宣传、诚信服务、诚信文化、环境安全社会诚信责任和信守承诺，这也是本公司全体员工开展诚信活动的准则。</w:t>
      </w:r>
    </w:p>
    <w:p>
      <w:pPr>
        <w:spacing w:line="276" w:lineRule="auto"/>
        <w:outlineLvl w:val="0"/>
        <w:rPr>
          <w:rFonts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2.2.2质量管理机构</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产品是过程的输出或结果。产品的质量是由过程质量决定的，过程的质量是由系统的质量决定的。为确保系统、过程、产品的质量，公司依据质量管理体系标准要求，运用管理的系统方法、过程方法，识别了所需的过程及其接口关系，建立了公司的质量管理架构。</w:t>
      </w:r>
    </w:p>
    <w:p>
      <w:pPr>
        <w:autoSpaceDE w:val="0"/>
        <w:autoSpaceDN w:val="0"/>
        <w:adjustRightInd w:val="0"/>
        <w:spacing w:line="360" w:lineRule="auto"/>
        <w:ind w:firstLine="2094" w:firstLineChars="745"/>
        <w:rPr>
          <w:rFonts w:ascii="宋体" w:hAnsi="宋体"/>
          <w:color w:val="000000" w:themeColor="text1"/>
          <w:sz w:val="24"/>
        </w:rPr>
      </w:pPr>
      <w:r>
        <w:rPr>
          <w:rFonts w:hint="eastAsia" w:hAnsi="宋体" w:cs="仿宋"/>
          <w:b/>
          <w:color w:val="000000" w:themeColor="text1"/>
          <w:sz w:val="28"/>
          <w:szCs w:val="28"/>
          <w:u w:val="single"/>
        </w:rPr>
        <w:t>浙江慧琳工贸有限公司组织机构图</w:t>
      </w:r>
    </w:p>
    <w:p>
      <w:pPr>
        <w:pStyle w:val="31"/>
        <w:ind w:firstLine="440"/>
        <w:rPr>
          <w:color w:val="000000"/>
        </w:rPr>
      </w:pPr>
    </w:p>
    <w:p>
      <w:pPr>
        <w:pStyle w:val="31"/>
        <w:ind w:firstLine="418" w:firstLineChars="190"/>
        <w:rPr>
          <w:color w:val="000000"/>
        </w:rPr>
      </w:pPr>
      <w:r>
        <w:rPr>
          <w:color w:val="000000"/>
        </w:rPr>
        <w:pict>
          <v:roundrect id="自选图形 354" o:spid="_x0000_s1838" o:spt="2" style="position:absolute;left:0pt;margin-left:180.75pt;margin-top:6.7pt;height:25.4pt;width:68.7pt;z-index:251660288;mso-width-relative:page;mso-height-relative:page;" coordsize="21600,21600" arcsize="0.166666666666667">
            <v:path/>
            <v:fill focussize="0,0"/>
            <v:stroke/>
            <v:imagedata o:title=""/>
            <o:lock v:ext="edit"/>
            <v:textbox>
              <w:txbxContent>
                <w:p>
                  <w:pPr>
                    <w:ind w:firstLine="210" w:firstLineChars="100"/>
                  </w:pPr>
                  <w:r>
                    <w:rPr>
                      <w:rFonts w:hint="eastAsia"/>
                    </w:rPr>
                    <w:t>总经理</w:t>
                  </w:r>
                </w:p>
                <w:p/>
              </w:txbxContent>
            </v:textbox>
          </v:roundrect>
        </w:pict>
      </w:r>
    </w:p>
    <w:p>
      <w:pPr>
        <w:pStyle w:val="31"/>
        <w:tabs>
          <w:tab w:val="right" w:pos="9638"/>
          <w:tab w:val="clear" w:pos="4201"/>
          <w:tab w:val="clear" w:pos="9298"/>
        </w:tabs>
        <w:spacing w:line="360" w:lineRule="auto"/>
        <w:ind w:firstLine="385" w:firstLineChars="175"/>
        <w:rPr>
          <w:rFonts w:hAnsi="宋体"/>
          <w:color w:val="000000"/>
          <w:sz w:val="24"/>
        </w:rPr>
      </w:pPr>
      <w:r>
        <w:rPr>
          <w:color w:val="000000"/>
        </w:rPr>
        <w:pict>
          <v:shape id="_x0000_s1876" o:spid="_x0000_s1876" o:spt="32" type="#_x0000_t32" style="position:absolute;left:0pt;margin-left:217.65pt;margin-top:16.5pt;height:70.3pt;width:0pt;z-index:251669504;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Chars="175"/>
        <w:rPr>
          <w:rFonts w:hAnsi="宋体"/>
          <w:color w:val="000000"/>
          <w:sz w:val="24"/>
        </w:rPr>
      </w:pPr>
      <w:r>
        <w:rPr>
          <w:rFonts w:hAnsi="宋体"/>
          <w:color w:val="000000"/>
          <w:sz w:val="24"/>
        </w:rPr>
        <w:pict>
          <v:roundrect id="_x0000_s1841" o:spid="_x0000_s1841" o:spt="2" style="position:absolute;left:0pt;margin-left:307.55pt;margin-top:16.5pt;height:25.4pt;width:68.7pt;z-index:251661312;mso-width-relative:page;mso-height-relative:page;" coordsize="21600,21600" arcsize="0.166666666666667">
            <v:path/>
            <v:fill focussize="0,0"/>
            <v:stroke/>
            <v:imagedata o:title=""/>
            <o:lock v:ext="edit"/>
            <v:textbox>
              <w:txbxContent>
                <w:p>
                  <w:pPr>
                    <w:ind w:firstLine="210" w:firstLineChars="100"/>
                  </w:pPr>
                  <w:r>
                    <w:rPr>
                      <w:rFonts w:hint="eastAsia"/>
                    </w:rPr>
                    <w:t>管  代</w:t>
                  </w:r>
                </w:p>
                <w:p/>
              </w:txbxContent>
            </v:textbox>
          </v:roundrect>
        </w:pict>
      </w:r>
    </w:p>
    <w:p>
      <w:pPr>
        <w:pStyle w:val="31"/>
        <w:tabs>
          <w:tab w:val="right" w:pos="9638"/>
          <w:tab w:val="clear" w:pos="4201"/>
          <w:tab w:val="clear" w:pos="9298"/>
        </w:tabs>
        <w:spacing w:line="360" w:lineRule="auto"/>
        <w:ind w:firstLine="385" w:firstLineChars="175"/>
        <w:rPr>
          <w:rFonts w:hAnsi="宋体"/>
          <w:color w:val="000000"/>
          <w:sz w:val="24"/>
        </w:rPr>
      </w:pPr>
      <w:r>
        <w:pict>
          <v:shape id="_x0000_s1842" o:spid="_x0000_s1842" o:spt="32" type="#_x0000_t32" style="position:absolute;left:0pt;margin-left:217.65pt;margin-top:4.6pt;height:0pt;width:89.9pt;z-index:251662336;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Chars="175"/>
        <w:rPr>
          <w:rFonts w:hAnsi="宋体"/>
          <w:color w:val="000000"/>
          <w:sz w:val="24"/>
        </w:rPr>
      </w:pPr>
      <w:r>
        <w:rPr>
          <w:rFonts w:hAnsi="宋体"/>
          <w:color w:val="000000"/>
          <w:sz w:val="24"/>
        </w:rPr>
        <w:pict>
          <v:shape id="_x0000_s1878" o:spid="_x0000_s1878" o:spt="32" type="#_x0000_t32" style="position:absolute;left:0pt;margin-left:73.8pt;margin-top:16.6pt;height:26.25pt;width:0pt;z-index:251671552;mso-width-relative:page;mso-height-relative:page;" o:connectortype="straight" filled="f" coordsize="21600,21600">
            <v:path arrowok="t"/>
            <v:fill on="f" focussize="0,0"/>
            <v:stroke/>
            <v:imagedata o:title=""/>
            <o:lock v:ext="edit"/>
          </v:shape>
        </w:pict>
      </w:r>
      <w:r>
        <w:rPr>
          <w:color w:val="000000"/>
        </w:rPr>
        <w:pict>
          <v:shape id="_x0000_s1881" o:spid="_x0000_s1881" o:spt="32" type="#_x0000_t32" style="position:absolute;left:0pt;margin-left:354pt;margin-top:16.6pt;height:26.25pt;width:0pt;z-index:251674624;mso-width-relative:page;mso-height-relative:page;" o:connectortype="straight" filled="f" coordsize="21600,21600">
            <v:path arrowok="t"/>
            <v:fill on="f" focussize="0,0"/>
            <v:stroke/>
            <v:imagedata o:title=""/>
            <o:lock v:ext="edit"/>
          </v:shape>
        </w:pict>
      </w:r>
      <w:r>
        <w:rPr>
          <w:color w:val="000000"/>
        </w:rPr>
        <w:pict>
          <v:shape id="_x0000_s1895" o:spid="_x0000_s1895" o:spt="32" type="#_x0000_t32" style="position:absolute;left:0pt;margin-left:153pt;margin-top:16.6pt;height:26.25pt;width:0pt;z-index:251676672;mso-width-relative:page;mso-height-relative:page;" o:connectortype="straight" filled="f" coordsize="21600,21600">
            <v:path arrowok="t"/>
            <v:fill on="f" focussize="0,0"/>
            <v:stroke/>
            <v:imagedata o:title=""/>
            <o:lock v:ext="edit"/>
          </v:shape>
        </w:pict>
      </w:r>
      <w:r>
        <w:rPr>
          <w:color w:val="000000"/>
        </w:rPr>
        <w:pict>
          <v:shape id="_x0000_s1879" o:spid="_x0000_s1879" o:spt="32" type="#_x0000_t32" style="position:absolute;left:0pt;margin-left:217.65pt;margin-top:16.6pt;height:26.25pt;width:0pt;z-index:251672576;mso-width-relative:page;mso-height-relative:page;" o:connectortype="straight" filled="f" coordsize="21600,21600">
            <v:path arrowok="t"/>
            <v:fill on="f" focussize="0,0"/>
            <v:stroke/>
            <v:imagedata o:title=""/>
            <o:lock v:ext="edit"/>
          </v:shape>
        </w:pict>
      </w:r>
      <w:r>
        <w:rPr>
          <w:color w:val="000000"/>
        </w:rPr>
        <w:pict>
          <v:shape id="_x0000_s1880" o:spid="_x0000_s1880" o:spt="32" type="#_x0000_t32" style="position:absolute;left:0pt;margin-left:283.2pt;margin-top:16.6pt;height:26.25pt;width:0pt;z-index:251673600;mso-width-relative:page;mso-height-relative:page;" o:connectortype="straight" filled="f" coordsize="21600,21600">
            <v:path arrowok="t"/>
            <v:fill on="f" focussize="0,0"/>
            <v:stroke/>
            <v:imagedata o:title=""/>
            <o:lock v:ext="edit"/>
          </v:shape>
        </w:pict>
      </w:r>
      <w:r>
        <w:rPr>
          <w:color w:val="000000"/>
        </w:rPr>
        <w:pict>
          <v:shape id="_x0000_s1882" o:spid="_x0000_s1882" o:spt="32" type="#_x0000_t32" style="position:absolute;left:0pt;margin-left:426.35pt;margin-top:16.6pt;height:26.25pt;width:0pt;z-index:251675648;mso-width-relative:page;mso-height-relative:page;" o:connectortype="straight" filled="f" coordsize="21600,21600">
            <v:path arrowok="t"/>
            <v:fill on="f" focussize="0,0"/>
            <v:stroke/>
            <v:imagedata o:title=""/>
            <o:lock v:ext="edit"/>
          </v:shape>
        </w:pict>
      </w:r>
      <w:r>
        <w:pict>
          <v:shape id="_x0000_s1877" o:spid="_x0000_s1877" o:spt="32" type="#_x0000_t32" style="position:absolute;left:0pt;margin-left:-4.9pt;margin-top:16.6pt;height:26.25pt;width:0pt;z-index:251670528;mso-width-relative:page;mso-height-relative:page;" o:connectortype="straight" filled="f" coordsize="21600,21600">
            <v:path arrowok="t"/>
            <v:fill on="f" focussize="0,0"/>
            <v:stroke/>
            <v:imagedata o:title=""/>
            <o:lock v:ext="edit"/>
          </v:shape>
        </w:pict>
      </w:r>
      <w:r>
        <w:pict>
          <v:shape id="自选图形 96" o:spid="_x0000_s1837" o:spt="32" type="#_x0000_t32" style="position:absolute;left:0pt;margin-left:-4.9pt;margin-top:16.6pt;height:0pt;width:431.25pt;z-index:251659264;mso-width-relative:page;mso-height-relative:page;" o:connectortype="straight" filled="f" coordsize="21600,21600">
            <v:path arrowok="t"/>
            <v:fill on="f" focussize="0,0"/>
            <v:stroke/>
            <v:imagedata o:title=""/>
            <o:lock v:ext="edit"/>
          </v:shape>
        </w:pict>
      </w:r>
    </w:p>
    <w:p>
      <w:pPr>
        <w:pStyle w:val="31"/>
        <w:tabs>
          <w:tab w:val="right" w:pos="9638"/>
          <w:tab w:val="clear" w:pos="4201"/>
          <w:tab w:val="clear" w:pos="9298"/>
        </w:tabs>
        <w:spacing w:line="360" w:lineRule="auto"/>
        <w:ind w:firstLine="385" w:firstLineChars="175"/>
        <w:rPr>
          <w:rFonts w:hAnsi="宋体"/>
          <w:color w:val="000000"/>
          <w:sz w:val="24"/>
        </w:rPr>
      </w:pPr>
      <w:r>
        <w:pict>
          <v:roundrect id="_x0000_s1849" o:spid="_x0000_s1849" o:spt="2" style="position:absolute;left:0pt;margin-left:63.45pt;margin-top:19.45pt;height:74.55pt;width:22.5pt;z-index:251665408;mso-width-relative:page;mso-height-relative:page;" coordsize="21600,21600" arcsize="0.166666666666667">
            <v:path/>
            <v:fill focussize="0,0"/>
            <v:stroke/>
            <v:imagedata o:title=""/>
            <o:lock v:ext="edit"/>
            <v:textbox>
              <w:txbxContent>
                <w:p>
                  <w:r>
                    <w:rPr>
                      <w:rFonts w:hint="eastAsia"/>
                    </w:rPr>
                    <w:t>技术部</w:t>
                  </w:r>
                </w:p>
              </w:txbxContent>
            </v:textbox>
          </v:roundrect>
        </w:pict>
      </w:r>
      <w:r>
        <w:rPr>
          <w:rFonts w:hAnsi="宋体"/>
          <w:color w:val="000000"/>
          <w:sz w:val="24"/>
        </w:rPr>
        <w:pict>
          <v:roundrect id="_x0000_s1854" o:spid="_x0000_s1854" o:spt="2" style="position:absolute;left:0pt;margin-left:344.7pt;margin-top:19.45pt;height:74.55pt;width:22.5pt;z-index:251668480;mso-width-relative:page;mso-height-relative:page;" coordsize="21600,21600" arcsize="0.166666666666667">
            <v:path/>
            <v:fill focussize="0,0"/>
            <v:stroke/>
            <v:imagedata o:title=""/>
            <o:lock v:ext="edit"/>
            <v:textbox>
              <w:txbxContent>
                <w:p>
                  <w:r>
                    <w:rPr>
                      <w:rFonts w:hint="eastAsia"/>
                    </w:rPr>
                    <w:t>销售部</w:t>
                  </w:r>
                </w:p>
              </w:txbxContent>
            </v:textbox>
          </v:roundrect>
        </w:pict>
      </w:r>
      <w:r>
        <w:rPr>
          <w:rFonts w:hAnsi="宋体"/>
          <w:color w:val="000000"/>
          <w:sz w:val="24"/>
        </w:rPr>
        <w:pict>
          <v:roundrect id="_x0000_s1896" o:spid="_x0000_s1896" o:spt="2" style="position:absolute;left:0pt;margin-left:139.5pt;margin-top:19.45pt;height:74.55pt;width:22.5pt;z-index:251677696;mso-width-relative:page;mso-height-relative:page;" coordsize="21600,21600" arcsize="0.166666666666667">
            <v:path/>
            <v:fill focussize="0,0"/>
            <v:stroke/>
            <v:imagedata o:title=""/>
            <o:lock v:ext="edit"/>
            <v:textbox>
              <w:txbxContent>
                <w:p>
                  <w:r>
                    <w:rPr>
                      <w:rFonts w:hint="eastAsia"/>
                    </w:rPr>
                    <w:t>品质部</w:t>
                  </w:r>
                </w:p>
              </w:txbxContent>
            </v:textbox>
          </v:roundrect>
        </w:pict>
      </w:r>
      <w:r>
        <w:pict>
          <v:roundrect id="_x0000_s1850" o:spid="_x0000_s1850" o:spt="2" style="position:absolute;left:0pt;margin-left:206.1pt;margin-top:19.45pt;height:74.55pt;width:22.5pt;z-index:251666432;mso-width-relative:page;mso-height-relative:page;" coordsize="21600,21600" arcsize="0.166666666666667">
            <v:path/>
            <v:fill focussize="0,0"/>
            <v:stroke/>
            <v:imagedata o:title=""/>
            <o:lock v:ext="edit"/>
            <v:textbox>
              <w:txbxContent>
                <w:p>
                  <w:r>
                    <w:rPr>
                      <w:rFonts w:hint="eastAsia"/>
                    </w:rPr>
                    <w:t>采购部</w:t>
                  </w:r>
                </w:p>
              </w:txbxContent>
            </v:textbox>
          </v:roundrect>
        </w:pict>
      </w:r>
      <w:r>
        <w:rPr>
          <w:rFonts w:hAnsi="宋体"/>
          <w:color w:val="000000"/>
          <w:sz w:val="24"/>
        </w:rPr>
        <w:pict>
          <v:roundrect id="_x0000_s1848" o:spid="_x0000_s1848" o:spt="2" style="position:absolute;left:0pt;margin-left:271.35pt;margin-top:19.45pt;height:74.55pt;width:22.5pt;z-index:251664384;mso-width-relative:page;mso-height-relative:page;" coordsize="21600,21600" arcsize="0.166666666666667">
            <v:path/>
            <v:fill focussize="0,0"/>
            <v:stroke/>
            <v:imagedata o:title=""/>
            <o:lock v:ext="edit"/>
            <v:textbox>
              <w:txbxContent>
                <w:p>
                  <w:r>
                    <w:rPr>
                      <w:rFonts w:hint="eastAsia"/>
                    </w:rPr>
                    <w:t>生产部</w:t>
                  </w:r>
                </w:p>
              </w:txbxContent>
            </v:textbox>
          </v:roundrect>
        </w:pict>
      </w:r>
      <w:r>
        <w:rPr>
          <w:rFonts w:hAnsi="宋体"/>
          <w:color w:val="000000"/>
          <w:sz w:val="24"/>
        </w:rPr>
        <w:pict>
          <v:roundrect id="_x0000_s1851" o:spid="_x0000_s1851" o:spt="2" style="position:absolute;left:0pt;margin-left:414.35pt;margin-top:19.45pt;height:74.55pt;width:22.5pt;z-index:251667456;mso-width-relative:page;mso-height-relative:page;" coordsize="21600,21600" arcsize="0.166666666666667">
            <v:path/>
            <v:fill focussize="0,0"/>
            <v:stroke/>
            <v:imagedata o:title=""/>
            <o:lock v:ext="edit"/>
            <v:textbox>
              <w:txbxContent>
                <w:p>
                  <w:r>
                    <w:rPr>
                      <w:rFonts w:hint="eastAsia"/>
                    </w:rPr>
                    <w:t>财务部</w:t>
                  </w:r>
                </w:p>
              </w:txbxContent>
            </v:textbox>
          </v:roundrect>
        </w:pict>
      </w:r>
      <w:r>
        <w:rPr>
          <w:rFonts w:hAnsi="宋体"/>
          <w:color w:val="000000"/>
          <w:sz w:val="24"/>
        </w:rPr>
        <w:pict>
          <v:roundrect id="_x0000_s1847" o:spid="_x0000_s1847" o:spt="2" style="position:absolute;left:0pt;margin-left:-15.75pt;margin-top:19.45pt;height:74.55pt;width:22.5pt;z-index:251663360;mso-width-relative:page;mso-height-relative:page;" coordsize="21600,21600" arcsize="0.166666666666667">
            <v:path/>
            <v:fill focussize="0,0"/>
            <v:stroke/>
            <v:imagedata o:title=""/>
            <o:lock v:ext="edit"/>
            <v:textbox>
              <w:txbxContent>
                <w:p>
                  <w:r>
                    <w:rPr>
                      <w:rFonts w:hint="eastAsia"/>
                    </w:rPr>
                    <w:t>行政部</w:t>
                  </w:r>
                </w:p>
              </w:txbxContent>
            </v:textbox>
          </v:roundrect>
        </w:pict>
      </w:r>
    </w:p>
    <w:p>
      <w:pPr>
        <w:pStyle w:val="31"/>
        <w:tabs>
          <w:tab w:val="right" w:pos="9638"/>
          <w:tab w:val="clear" w:pos="4201"/>
          <w:tab w:val="clear" w:pos="9298"/>
        </w:tabs>
        <w:spacing w:line="360" w:lineRule="auto"/>
        <w:ind w:firstLineChars="175"/>
        <w:rPr>
          <w:rFonts w:hAnsi="宋体"/>
          <w:color w:val="000000"/>
          <w:sz w:val="24"/>
        </w:rPr>
      </w:pPr>
    </w:p>
    <w:p>
      <w:pPr>
        <w:pStyle w:val="31"/>
        <w:tabs>
          <w:tab w:val="right" w:pos="9638"/>
          <w:tab w:val="clear" w:pos="4201"/>
          <w:tab w:val="clear" w:pos="9298"/>
        </w:tabs>
        <w:spacing w:line="360" w:lineRule="auto"/>
        <w:ind w:firstLineChars="175"/>
        <w:rPr>
          <w:rFonts w:hAnsi="宋体"/>
          <w:color w:val="000000"/>
          <w:sz w:val="24"/>
        </w:rPr>
      </w:pPr>
    </w:p>
    <w:p>
      <w:pPr>
        <w:pStyle w:val="31"/>
        <w:tabs>
          <w:tab w:val="right" w:pos="9638"/>
          <w:tab w:val="clear" w:pos="4201"/>
          <w:tab w:val="clear" w:pos="9298"/>
        </w:tabs>
        <w:spacing w:line="360" w:lineRule="auto"/>
        <w:ind w:firstLineChars="175"/>
        <w:rPr>
          <w:rFonts w:hAnsi="宋体"/>
          <w:color w:val="000000"/>
          <w:sz w:val="24"/>
        </w:rPr>
      </w:pPr>
    </w:p>
    <w:p>
      <w:pPr>
        <w:pStyle w:val="31"/>
        <w:tabs>
          <w:tab w:val="right" w:pos="9638"/>
          <w:tab w:val="clear" w:pos="4201"/>
          <w:tab w:val="clear" w:pos="9298"/>
        </w:tabs>
        <w:spacing w:line="360" w:lineRule="auto"/>
        <w:ind w:firstLineChars="150"/>
        <w:rPr>
          <w:rFonts w:cs="宋体" w:asciiTheme="minorEastAsia" w:hAnsiTheme="minorEastAsia"/>
          <w:color w:val="000000"/>
          <w:kern w:val="0"/>
          <w:sz w:val="28"/>
          <w:szCs w:val="28"/>
        </w:rPr>
      </w:pPr>
    </w:p>
    <w:p>
      <w:pPr>
        <w:pStyle w:val="31"/>
        <w:tabs>
          <w:tab w:val="right" w:pos="9638"/>
          <w:tab w:val="clear" w:pos="4201"/>
          <w:tab w:val="clear" w:pos="9298"/>
        </w:tabs>
        <w:spacing w:line="360" w:lineRule="auto"/>
        <w:ind w:firstLineChars="150"/>
        <w:rPr>
          <w:rFonts w:cs="宋体" w:asciiTheme="minorEastAsia" w:hAnsiTheme="minorEastAsia"/>
          <w:color w:val="000000"/>
          <w:kern w:val="0"/>
          <w:sz w:val="28"/>
          <w:szCs w:val="28"/>
        </w:rPr>
      </w:pPr>
    </w:p>
    <w:p>
      <w:pPr>
        <w:pStyle w:val="31"/>
        <w:tabs>
          <w:tab w:val="right" w:pos="9638"/>
          <w:tab w:val="clear" w:pos="4201"/>
          <w:tab w:val="clear" w:pos="9298"/>
        </w:tabs>
        <w:spacing w:line="360" w:lineRule="auto"/>
        <w:ind w:firstLineChars="150"/>
        <w:rPr>
          <w:rFonts w:cs="宋体" w:asciiTheme="minorEastAsia" w:hAnsiTheme="minorEastAsia"/>
          <w:color w:val="000000"/>
          <w:kern w:val="0"/>
          <w:sz w:val="28"/>
          <w:szCs w:val="28"/>
        </w:rPr>
      </w:pPr>
      <w:r>
        <w:rPr>
          <w:rFonts w:cs="宋体" w:asciiTheme="minorEastAsia" w:hAnsiTheme="minorEastAsia"/>
          <w:color w:val="000000"/>
          <w:kern w:val="0"/>
          <w:sz w:val="28"/>
          <w:szCs w:val="28"/>
        </w:rPr>
        <w:t>公司成立以总经理为首的质量管理组织。质量管理机构设专职人员负责</w:t>
      </w:r>
      <w:r>
        <w:rPr>
          <w:rFonts w:hint="eastAsia" w:cs="宋体" w:asciiTheme="minorEastAsia" w:hAnsiTheme="minorEastAsia"/>
          <w:color w:val="000000"/>
          <w:kern w:val="0"/>
          <w:sz w:val="28"/>
          <w:szCs w:val="28"/>
        </w:rPr>
        <w:t>。</w:t>
      </w:r>
    </w:p>
    <w:p>
      <w:pPr>
        <w:pStyle w:val="31"/>
        <w:tabs>
          <w:tab w:val="right" w:pos="9638"/>
          <w:tab w:val="clear" w:pos="4201"/>
          <w:tab w:val="clear" w:pos="9298"/>
        </w:tabs>
        <w:spacing w:line="360" w:lineRule="auto"/>
        <w:ind w:firstLine="490" w:firstLineChars="175"/>
        <w:rPr>
          <w:rFonts w:cs="宋体" w:asciiTheme="minorEastAsia" w:hAnsiTheme="minorEastAsia"/>
          <w:color w:val="000000"/>
          <w:kern w:val="0"/>
          <w:sz w:val="28"/>
          <w:szCs w:val="28"/>
        </w:rPr>
      </w:pPr>
      <w:r>
        <w:rPr>
          <w:rFonts w:cs="宋体" w:asciiTheme="minorEastAsia" w:hAnsiTheme="minorEastAsia"/>
          <w:color w:val="000000"/>
          <w:kern w:val="0"/>
          <w:sz w:val="28"/>
          <w:szCs w:val="28"/>
        </w:rPr>
        <w:t>公司的质量管理工作。各部门设立相应的质量管理组织，负责本部门的质量管理工作。品质部门人员深入到生产各方面，分别负责原材料、半成品、成品质量的检验、控制、监督和管理工作。</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同时，为进一步提升企业的质量水平，公司与多个检测机构建立了长期的合作，进行检测数据的比对。</w:t>
      </w:r>
    </w:p>
    <w:p>
      <w:pPr>
        <w:widowControl/>
        <w:shd w:val="clear" w:color="auto" w:fill="FFFFFF"/>
        <w:spacing w:line="480" w:lineRule="exact"/>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1、</w:t>
      </w:r>
      <w:r>
        <w:rPr>
          <w:rFonts w:cs="宋体" w:asciiTheme="minorEastAsia" w:hAnsiTheme="minorEastAsia"/>
          <w:color w:val="000000"/>
          <w:kern w:val="0"/>
          <w:sz w:val="28"/>
          <w:szCs w:val="28"/>
        </w:rPr>
        <w:t>质量管理组织的职责</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（1）编制适合本企业的质量管理体系文件；</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（2）组织制定企业的质量方针和质量目标；</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（3）负责和监督企业质量管理体系的有效运行；</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（4）制定质量奖惩制度，负责协调各部门的质量责任，并考核工作质量；</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（5）组织企业内部质量审核；</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（6）负责重大质量事故的分析处理；</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（7）监督企业质量基金的使用与管理；</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（8）组织开展群众性质量活动。</w:t>
      </w:r>
    </w:p>
    <w:p>
      <w:pPr>
        <w:widowControl/>
        <w:shd w:val="clear" w:color="auto" w:fill="FFFFFF"/>
        <w:spacing w:line="480" w:lineRule="exact"/>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2、</w:t>
      </w:r>
      <w:r>
        <w:rPr>
          <w:rFonts w:cs="宋体" w:asciiTheme="minorEastAsia" w:hAnsiTheme="minorEastAsia"/>
          <w:color w:val="000000"/>
          <w:kern w:val="0"/>
          <w:sz w:val="28"/>
          <w:szCs w:val="28"/>
        </w:rPr>
        <w:t>各职能部门的职责</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（1）保证质量管理体系在本单位得到有效运行；</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（2）组织开展质量管理活动；</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（3）严格执行质量管理组织和化验室的质量指令；</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（4）完成本单位涉及的质量指标或质量目标。</w:t>
      </w:r>
    </w:p>
    <w:p>
      <w:pPr>
        <w:widowControl/>
        <w:shd w:val="clear" w:color="auto" w:fill="FFFFFF"/>
        <w:spacing w:line="480" w:lineRule="exact"/>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3、</w:t>
      </w:r>
      <w:r>
        <w:rPr>
          <w:rFonts w:cs="宋体" w:asciiTheme="minorEastAsia" w:hAnsiTheme="minorEastAsia"/>
          <w:color w:val="000000"/>
          <w:kern w:val="0"/>
          <w:sz w:val="28"/>
          <w:szCs w:val="28"/>
        </w:rPr>
        <w:t>品质部门的职责和权限</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（1）质量检验</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按照有关标准和规定，对原材料、半成品、成品进行检验。按规定做好质量记录和标识，及时提供准确可靠的检验数据，掌握质量动态，保证产品检验的可追溯性。</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（2）质量控制</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根据产品质量要求，制定原材料、半成品和成品的企业内控质量指标，组织实施过程质量控制，运用数理统计方法掌握质量波动规律，不断提高预见性与预防能力，并及时采取纠正措施、预防措施，使生产全过程处于受控状态。</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（3）出厂检测</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严格按照产品标准进行检测，保证产品出厂合格率达到</w:t>
      </w:r>
      <w:r>
        <w:rPr>
          <w:rFonts w:hint="eastAsia" w:cs="宋体" w:asciiTheme="minorEastAsia" w:hAnsiTheme="minorEastAsia"/>
          <w:color w:val="000000"/>
          <w:kern w:val="0"/>
          <w:sz w:val="28"/>
          <w:szCs w:val="28"/>
        </w:rPr>
        <w:t>100%</w:t>
      </w:r>
      <w:r>
        <w:rPr>
          <w:rFonts w:cs="宋体" w:asciiTheme="minorEastAsia" w:hAnsiTheme="minorEastAsia"/>
          <w:color w:val="000000"/>
          <w:kern w:val="0"/>
          <w:sz w:val="28"/>
          <w:szCs w:val="28"/>
        </w:rPr>
        <w:t>。</w:t>
      </w:r>
    </w:p>
    <w:p>
      <w:pPr>
        <w:widowControl/>
        <w:shd w:val="clear" w:color="auto" w:fill="FFFFFF"/>
        <w:spacing w:line="480" w:lineRule="exact"/>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（4）质量统计和分析</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利用数理统计方法，及时进行质量统计，做好分析和改进工作。</w:t>
      </w:r>
    </w:p>
    <w:p>
      <w:pPr>
        <w:spacing w:line="360" w:lineRule="auto"/>
        <w:rPr>
          <w:rFonts w:cs="Helvetica" w:asciiTheme="minorEastAsia" w:hAnsiTheme="minorEastAsia" w:eastAsiaTheme="minorEastAsia"/>
          <w:b/>
          <w:color w:val="000000" w:themeColor="text1"/>
          <w:kern w:val="0"/>
          <w:sz w:val="24"/>
        </w:rPr>
      </w:pPr>
      <w:r>
        <w:rPr>
          <w:rFonts w:hint="eastAsia" w:cs="仿宋_GB2312" w:asciiTheme="minorEastAsia" w:hAnsiTheme="minorEastAsia" w:eastAsiaTheme="minorEastAsia"/>
          <w:b/>
          <w:bCs/>
          <w:color w:val="000000" w:themeColor="text1"/>
          <w:sz w:val="28"/>
          <w:szCs w:val="28"/>
        </w:rPr>
        <w:t>2.2.3质量管理体系</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1、质量管理体系方针与目标</w:t>
      </w:r>
    </w:p>
    <w:p>
      <w:pPr>
        <w:spacing w:line="360" w:lineRule="auto"/>
        <w:ind w:firstLine="560" w:firstLineChars="200"/>
      </w:pPr>
      <w:r>
        <w:rPr>
          <w:rFonts w:hint="eastAsia" w:cs="仿宋_GB2312" w:asciiTheme="minorEastAsia" w:hAnsiTheme="minorEastAsia" w:eastAsiaTheme="minorEastAsia"/>
          <w:color w:val="000000" w:themeColor="text1"/>
          <w:sz w:val="28"/>
          <w:szCs w:val="28"/>
        </w:rPr>
        <w:t>公司建</w:t>
      </w:r>
      <w:r>
        <w:rPr>
          <w:rFonts w:hint="eastAsia" w:cs="仿宋_GB2312" w:asciiTheme="minorEastAsia" w:hAnsiTheme="minorEastAsia" w:eastAsiaTheme="minorEastAsia"/>
          <w:color w:val="0C0C0C" w:themeColor="text1" w:themeTint="F2"/>
          <w:sz w:val="28"/>
          <w:szCs w:val="28"/>
        </w:rPr>
        <w:t>立并实施的质量管理体系，制定了“</w:t>
      </w:r>
      <w:r>
        <w:rPr>
          <w:rFonts w:hint="eastAsia" w:asciiTheme="minorEastAsia" w:hAnsiTheme="minorEastAsia" w:eastAsiaTheme="minorEastAsia"/>
          <w:b/>
          <w:color w:val="000000" w:themeColor="text1"/>
          <w:sz w:val="28"/>
          <w:szCs w:val="28"/>
          <w:u w:val="single"/>
        </w:rPr>
        <w:t>质量至上，追求卓越，持续改进，顾客满意</w:t>
      </w:r>
      <w:r>
        <w:rPr>
          <w:rFonts w:hint="eastAsia" w:ascii="宋体"/>
          <w:b/>
          <w:color w:val="0C0C0C" w:themeColor="text1" w:themeTint="F2"/>
          <w:sz w:val="28"/>
          <w:szCs w:val="28"/>
          <w:u w:val="single"/>
        </w:rPr>
        <w:t>。</w:t>
      </w:r>
      <w:r>
        <w:rPr>
          <w:rFonts w:hint="eastAsia" w:cs="仿宋_GB2312" w:asciiTheme="minorEastAsia" w:hAnsiTheme="minorEastAsia" w:eastAsiaTheme="minorEastAsia"/>
          <w:color w:val="0C0C0C" w:themeColor="text1" w:themeTint="F2"/>
          <w:sz w:val="28"/>
          <w:szCs w:val="28"/>
        </w:rPr>
        <w:t>”的质量方针</w:t>
      </w:r>
      <w:r>
        <w:rPr>
          <w:rFonts w:hint="eastAsia" w:cs="仿宋_GB2312" w:asciiTheme="minorEastAsia" w:hAnsiTheme="minorEastAsia" w:eastAsiaTheme="minorEastAsia"/>
          <w:color w:val="000000" w:themeColor="text1"/>
          <w:sz w:val="28"/>
          <w:szCs w:val="28"/>
        </w:rPr>
        <w:t>。</w:t>
      </w:r>
      <w:r>
        <w:rPr>
          <w:rFonts w:hint="eastAsia" w:cs="仿宋_GB2312" w:asciiTheme="minorEastAsia" w:hAnsiTheme="minorEastAsia" w:eastAsiaTheme="minorEastAsia"/>
          <w:color w:val="0C0C0C" w:themeColor="text1" w:themeTint="F2"/>
          <w:sz w:val="28"/>
          <w:szCs w:val="28"/>
        </w:rPr>
        <w:t>为持续改善公司质量管理体系，公司每年均制定计划，实施质量管理体系每步审核。通过内部审核，寻找改善的机会。同时，公司也会充分利用二方审核、三方审核的机会，改进质量管理体系的有效性。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导入卓越绩效管理模式，推行全面质量管理，使公司质量管理体系从持续改进，向追求卓越看齐，建立了以公司战略为核心，以GB/T19580卓越绩效模式为框架的整合型全面质量管理体系。满足顾客、员工、供应商、社会和合作伙伴五大利益相关方的要求，在公司各层次建立了相应的战略规划、质量目标。以公司绩效考核体系为依托，设立了质量考核KPI和质量问责制。</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2、质量教育</w:t>
      </w:r>
    </w:p>
    <w:p>
      <w:pPr>
        <w:spacing w:line="360" w:lineRule="auto"/>
        <w:ind w:firstLine="700" w:firstLineChars="2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体系运行过程中，公司基于PDCA的系统方法，运用各种科学、有效的工具，测量、分析、改进质量管理体系的有效性及各部门、各层次的绩效，并采用标杆对比和学习的方式，不断修正个人工作思想和意识，确保实现个人和公司整体目标。公司内部建立培训制度，根据公司的具体情况，开展各项教育培训工作；对外，积极与顾客和政府职能部门及各类培训机构外部进行沟通交流，适时邀请专家对公司员工进行专项培训。公司定期结合体系运行情况和质量实际表现情况，对各级员工开展有针对性的质量教育，对质量控制点进行专项管理，确保制造过程产品质量的一致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牢固树立全体员工的诚信意识，公司每年年初制定本年度的质量诚信教育培训计划。实行三级质量诚信教育培训。由公司组织一级教育工作。各部门负责人根据公司要求，编制教育培训计划和内容，认真组织实施下属的教育培训。各班组长负责员工的诚信宣传教育工作。公司通过网站、企业微信群进行传达，利用多种方式对企业员工实施质量诚信教育。公司对在质量诚信教育培训中成绩优异的人员给予一定的奖励，通过培训后在工作岗位上起着模范带头或成绩突出的员工也给予一定奖励，同时在员工中宣传和推广经验。对不按时参加质量诚信教育培训或未通过培训考核的员工，给予一定的处罚。</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3、质量法规及责任制度</w:t>
      </w:r>
    </w:p>
    <w:p>
      <w:pPr>
        <w:spacing w:line="360" w:lineRule="auto"/>
        <w:ind w:firstLine="560" w:firstLineChars="200"/>
        <w:rPr>
          <w:rFonts w:cs="宋体" w:asciiTheme="minorEastAsia" w:hAnsiTheme="minorEastAsia" w:eastAsiaTheme="minorEastAsia"/>
          <w:color w:val="000000" w:themeColor="text1"/>
          <w:kern w:val="0"/>
          <w:sz w:val="24"/>
        </w:rPr>
      </w:pPr>
      <w:r>
        <w:rPr>
          <w:rFonts w:hint="eastAsia" w:cs="仿宋_GB2312" w:asciiTheme="minorEastAsia" w:hAnsiTheme="minorEastAsia" w:eastAsiaTheme="minorEastAsia"/>
          <w:color w:val="000000" w:themeColor="text1"/>
          <w:sz w:val="28"/>
          <w:szCs w:val="28"/>
        </w:rPr>
        <w:t>公司通过收集法律法规及其它标准、要求，制定内部相关标准，使产品达到国家法律法规和国家、行业标准的要求（部分产品指标高于行业标准要求），从产品技术上践行社会责任。同时，公司对产品质量问题进行责罚，遵循对质量事故不放过原则</w:t>
      </w:r>
      <w:r>
        <w:rPr>
          <w:rFonts w:hint="eastAsia" w:cs="宋体" w:asciiTheme="minorEastAsia" w:hAnsiTheme="minorEastAsia" w:eastAsiaTheme="minorEastAsia"/>
          <w:color w:val="000000" w:themeColor="text1"/>
          <w:kern w:val="0"/>
          <w:sz w:val="24"/>
        </w:rPr>
        <w:t>。</w:t>
      </w:r>
    </w:p>
    <w:p>
      <w:pPr>
        <w:pStyle w:val="6"/>
        <w:spacing w:line="276" w:lineRule="auto"/>
        <w:jc w:val="center"/>
        <w:rPr>
          <w:rFonts w:ascii="微软雅黑" w:hAnsi="微软雅黑" w:eastAsia="微软雅黑" w:cs="仿宋_GB2312"/>
          <w:color w:val="000000" w:themeColor="text1"/>
          <w:sz w:val="24"/>
          <w:szCs w:val="24"/>
        </w:rPr>
      </w:pPr>
    </w:p>
    <w:p>
      <w:pPr>
        <w:pStyle w:val="6"/>
        <w:spacing w:line="276" w:lineRule="auto"/>
        <w:jc w:val="center"/>
        <w:rPr>
          <w:rFonts w:ascii="微软雅黑" w:hAnsi="微软雅黑" w:eastAsia="微软雅黑" w:cs="仿宋_GB2312"/>
          <w:color w:val="000000" w:themeColor="text1"/>
          <w:sz w:val="24"/>
          <w:szCs w:val="24"/>
        </w:rPr>
      </w:pPr>
    </w:p>
    <w:p>
      <w:pPr>
        <w:pStyle w:val="6"/>
        <w:spacing w:line="276" w:lineRule="auto"/>
        <w:jc w:val="center"/>
        <w:rPr>
          <w:rFonts w:ascii="微软雅黑" w:hAnsi="微软雅黑" w:eastAsia="微软雅黑" w:cs="仿宋_GB2312"/>
          <w:color w:val="000000" w:themeColor="text1"/>
          <w:sz w:val="24"/>
          <w:szCs w:val="24"/>
        </w:rPr>
      </w:pPr>
      <w:r>
        <w:rPr>
          <w:rFonts w:hint="eastAsia" w:ascii="微软雅黑" w:hAnsi="微软雅黑" w:eastAsia="微软雅黑" w:cs="仿宋_GB2312"/>
          <w:color w:val="000000" w:themeColor="text1"/>
          <w:sz w:val="24"/>
          <w:szCs w:val="24"/>
        </w:rPr>
        <w:t>图表</w:t>
      </w:r>
      <w:r>
        <w:rPr>
          <w:rFonts w:hint="eastAsia" w:ascii="微软雅黑" w:hAnsi="微软雅黑" w:eastAsia="微软雅黑" w:cs="仿宋_GB2312"/>
          <w:color w:val="000000" w:themeColor="text1"/>
          <w:sz w:val="24"/>
          <w:szCs w:val="24"/>
        </w:rPr>
        <w:fldChar w:fldCharType="begin"/>
      </w:r>
      <w:r>
        <w:rPr>
          <w:rFonts w:hint="eastAsia" w:ascii="微软雅黑" w:hAnsi="微软雅黑" w:eastAsia="微软雅黑" w:cs="仿宋_GB2312"/>
          <w:color w:val="000000" w:themeColor="text1"/>
          <w:sz w:val="24"/>
          <w:szCs w:val="24"/>
        </w:rPr>
        <w:instrText xml:space="preserve">SEQ 表 \* ARABIC</w:instrText>
      </w:r>
      <w:r>
        <w:rPr>
          <w:rFonts w:hint="eastAsia" w:ascii="微软雅黑" w:hAnsi="微软雅黑" w:eastAsia="微软雅黑" w:cs="仿宋_GB2312"/>
          <w:color w:val="000000" w:themeColor="text1"/>
          <w:sz w:val="24"/>
          <w:szCs w:val="24"/>
        </w:rPr>
        <w:fldChar w:fldCharType="separate"/>
      </w:r>
      <w:r>
        <w:rPr>
          <w:rFonts w:ascii="微软雅黑" w:hAnsi="微软雅黑" w:eastAsia="微软雅黑" w:cs="仿宋_GB2312"/>
          <w:color w:val="000000" w:themeColor="text1"/>
          <w:sz w:val="24"/>
          <w:szCs w:val="24"/>
        </w:rPr>
        <w:t>1</w:t>
      </w:r>
      <w:r>
        <w:rPr>
          <w:rFonts w:hint="eastAsia" w:ascii="微软雅黑" w:hAnsi="微软雅黑" w:eastAsia="微软雅黑" w:cs="仿宋_GB2312"/>
          <w:color w:val="000000" w:themeColor="text1"/>
          <w:sz w:val="24"/>
          <w:szCs w:val="24"/>
        </w:rPr>
        <w:fldChar w:fldCharType="end"/>
      </w:r>
      <w:r>
        <w:rPr>
          <w:rFonts w:hint="eastAsia" w:ascii="微软雅黑" w:hAnsi="微软雅黑" w:eastAsia="微软雅黑" w:cs="仿宋_GB2312"/>
          <w:color w:val="000000" w:themeColor="text1"/>
          <w:sz w:val="24"/>
          <w:szCs w:val="24"/>
        </w:rPr>
        <w:t>公司所遵守的质量标准和其他相关法律</w:t>
      </w:r>
    </w:p>
    <w:tbl>
      <w:tblPr>
        <w:tblStyle w:val="21"/>
        <w:tblW w:w="9072"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43"/>
        <w:gridCol w:w="722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1843" w:type="dxa"/>
            <w:shd w:val="clear" w:color="auto" w:fill="DBE5F1" w:themeFill="accent1" w:themeFillTint="33"/>
            <w:vAlign w:val="center"/>
          </w:tcPr>
          <w:p>
            <w:pPr>
              <w:spacing w:line="276" w:lineRule="auto"/>
              <w:jc w:val="center"/>
              <w:rPr>
                <w:rFonts w:ascii="微软雅黑" w:hAnsi="微软雅黑" w:eastAsia="微软雅黑"/>
                <w:color w:val="000000" w:themeColor="text1"/>
                <w:szCs w:val="21"/>
              </w:rPr>
            </w:pPr>
            <w:r>
              <w:rPr>
                <w:rFonts w:ascii="微软雅黑" w:hAnsi="微软雅黑" w:eastAsia="微软雅黑"/>
                <w:color w:val="000000" w:themeColor="text1"/>
                <w:szCs w:val="21"/>
              </w:rPr>
              <w:t>类 别</w:t>
            </w:r>
          </w:p>
        </w:tc>
        <w:tc>
          <w:tcPr>
            <w:tcW w:w="7229" w:type="dxa"/>
            <w:shd w:val="clear" w:color="auto" w:fill="DBE5F1" w:themeFill="accent1" w:themeFillTint="33"/>
            <w:vAlign w:val="center"/>
          </w:tcPr>
          <w:p>
            <w:pPr>
              <w:spacing w:line="276" w:lineRule="auto"/>
              <w:jc w:val="center"/>
              <w:rPr>
                <w:rFonts w:ascii="微软雅黑" w:hAnsi="微软雅黑" w:eastAsia="微软雅黑"/>
                <w:color w:val="000000" w:themeColor="text1"/>
                <w:szCs w:val="21"/>
              </w:rPr>
            </w:pPr>
            <w:r>
              <w:rPr>
                <w:rFonts w:ascii="微软雅黑" w:hAnsi="微软雅黑" w:eastAsia="微软雅黑"/>
                <w:color w:val="000000" w:themeColor="text1"/>
                <w:szCs w:val="21"/>
              </w:rPr>
              <w:t>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843" w:type="dxa"/>
            <w:shd w:val="clear" w:color="auto" w:fill="auto"/>
            <w:vAlign w:val="center"/>
          </w:tcPr>
          <w:p>
            <w:pPr>
              <w:spacing w:line="360" w:lineRule="auto"/>
              <w:ind w:firstLine="315" w:firstLineChars="150"/>
              <w:rPr>
                <w:rFonts w:ascii="微软雅黑" w:hAnsi="微软雅黑" w:eastAsia="微软雅黑" w:cs="仿宋_GB2312"/>
                <w:color w:val="000000" w:themeColor="text1"/>
                <w:szCs w:val="21"/>
              </w:rPr>
            </w:pPr>
            <w:r>
              <w:rPr>
                <w:rFonts w:hint="eastAsia" w:ascii="微软雅黑" w:hAnsi="微软雅黑" w:eastAsia="微软雅黑" w:cs="仿宋_GB2312"/>
                <w:color w:val="000000" w:themeColor="text1"/>
                <w:szCs w:val="21"/>
              </w:rPr>
              <w:t>员工权益</w:t>
            </w:r>
          </w:p>
          <w:p>
            <w:pPr>
              <w:spacing w:line="360" w:lineRule="auto"/>
              <w:ind w:firstLine="315" w:firstLineChars="150"/>
              <w:rPr>
                <w:rFonts w:ascii="微软雅黑" w:hAnsi="微软雅黑" w:eastAsia="微软雅黑" w:cs="仿宋_GB2312"/>
                <w:color w:val="000000" w:themeColor="text1"/>
                <w:szCs w:val="21"/>
              </w:rPr>
            </w:pPr>
            <w:r>
              <w:rPr>
                <w:rFonts w:hint="eastAsia" w:ascii="微软雅黑" w:hAnsi="微软雅黑" w:eastAsia="微软雅黑" w:cs="仿宋_GB2312"/>
                <w:color w:val="000000" w:themeColor="text1"/>
                <w:szCs w:val="21"/>
              </w:rPr>
              <w:t>社会责任</w:t>
            </w:r>
          </w:p>
        </w:tc>
        <w:tc>
          <w:tcPr>
            <w:tcW w:w="7229" w:type="dxa"/>
            <w:shd w:val="clear" w:color="auto" w:fill="auto"/>
          </w:tcPr>
          <w:p>
            <w:pPr>
              <w:spacing w:line="360" w:lineRule="auto"/>
              <w:rPr>
                <w:rFonts w:ascii="微软雅黑" w:hAnsi="微软雅黑" w:eastAsia="微软雅黑" w:cs="仿宋_GB2312"/>
                <w:color w:val="000000" w:themeColor="text1"/>
                <w:szCs w:val="21"/>
              </w:rPr>
            </w:pPr>
            <w:r>
              <w:rPr>
                <w:rFonts w:hint="eastAsia" w:ascii="微软雅黑" w:hAnsi="微软雅黑" w:eastAsia="微软雅黑" w:cs="仿宋_GB2312"/>
                <w:color w:val="000000" w:themeColor="text1"/>
                <w:szCs w:val="21"/>
              </w:rPr>
              <w:t>《劳动法》、《工会法》、《消费者权益保护法》、《环境保护法》、《安全生产法》、《职业病防治法》、质量管理体系、环境管理体系、职业健康安全管理体系等。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843" w:type="dxa"/>
            <w:shd w:val="clear" w:color="auto" w:fill="auto"/>
            <w:vAlign w:val="center"/>
          </w:tcPr>
          <w:p>
            <w:pPr>
              <w:spacing w:line="360" w:lineRule="auto"/>
              <w:ind w:firstLine="105" w:firstLineChars="50"/>
              <w:rPr>
                <w:rFonts w:ascii="微软雅黑" w:hAnsi="微软雅黑" w:eastAsia="微软雅黑" w:cs="仿宋_GB2312"/>
                <w:color w:val="000000" w:themeColor="text1"/>
                <w:szCs w:val="21"/>
              </w:rPr>
            </w:pPr>
            <w:r>
              <w:rPr>
                <w:rFonts w:hint="eastAsia" w:ascii="微软雅黑" w:hAnsi="微软雅黑" w:eastAsia="微软雅黑" w:cs="仿宋_GB2312"/>
                <w:color w:val="000000" w:themeColor="text1"/>
                <w:szCs w:val="21"/>
              </w:rPr>
              <w:t>产品标准执行</w:t>
            </w:r>
          </w:p>
        </w:tc>
        <w:tc>
          <w:tcPr>
            <w:tcW w:w="7229" w:type="dxa"/>
            <w:shd w:val="clear" w:color="auto" w:fill="auto"/>
          </w:tcPr>
          <w:p>
            <w:pPr>
              <w:spacing w:line="360" w:lineRule="auto"/>
              <w:rPr>
                <w:rFonts w:ascii="微软雅黑" w:hAnsi="微软雅黑" w:eastAsia="微软雅黑" w:cs="仿宋_GB2312"/>
                <w:color w:val="000000" w:themeColor="text1"/>
                <w:szCs w:val="21"/>
              </w:rPr>
            </w:pPr>
            <w:r>
              <w:rPr>
                <w:rFonts w:hint="eastAsia" w:ascii="微软雅黑" w:hAnsi="微软雅黑" w:eastAsia="微软雅黑" w:cs="仿宋_GB2312"/>
                <w:color w:val="000000" w:themeColor="text1"/>
                <w:szCs w:val="21"/>
              </w:rPr>
              <w:t>执行</w:t>
            </w:r>
            <w:r>
              <w:rPr>
                <w:rFonts w:ascii="微软雅黑" w:hAnsi="微软雅黑" w:eastAsia="微软雅黑"/>
                <w:szCs w:val="21"/>
              </w:rPr>
              <w:t>浙江制造团体标准</w:t>
            </w:r>
            <w:r>
              <w:rPr>
                <w:rFonts w:ascii="微软雅黑" w:hAnsi="微软雅黑" w:eastAsia="微软雅黑"/>
              </w:rPr>
              <w:t xml:space="preserve">T/ZZB </w:t>
            </w:r>
            <w:r>
              <w:rPr>
                <w:rFonts w:hint="eastAsia" w:ascii="微软雅黑" w:hAnsi="微软雅黑" w:eastAsia="微软雅黑"/>
              </w:rPr>
              <w:t xml:space="preserve"> 1684—2020《发饰　头扣和发夹》</w:t>
            </w:r>
          </w:p>
        </w:tc>
      </w:tr>
    </w:tbl>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定了《内部审核控制程序》、《管理评审控制程序》，为确保体系运行的有效性和持续改进，安排内审、过程审核和产品审核，对于审核中发现的不符合项，由责任部门分析原因，制定纠正或预防措施，落实整改，并验证整改效果，最终形成内部审核报告，对体系的整改及不符合项的预防提出建议，并作为管理评审的一个重要输入，报告最高管理者。</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制定了《不合格品控制程序》对不合格品进行了严格管控。公司制定了产品检验规程，产品都经过自检、互检、在线检查、专检，合格后方可流入下道工序或出厂。任何不合格产品均有明确的标识、记录、隔离和处理等要求，各种不合格产品返工、返修后必须经过重新检验合格后才能进入下道工序。</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同时，对于所有出现的不合格，均有详细记录，并由专人进行统计分析后，由责任单位纠正措施并进行整改，评估纠正措施有效之后方能关闭问题项。</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此外，公司对出现的质量问题进行问责和教育，并在日常开发、生产作业中，强调标准化，通过持续改善等活动及质量功能展开，充分应用PDCA循环，持续改善，追求卓越。</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2.2.4质量安全风险管理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所有产品和过程，均按项目管理方式或流程实施设计和开发，对产品特性和过程特性实施潜在失效模式及后果分析，对风险顺序数高的环节，采取必要的措施，降低风险。依据编制控制计划、作业指导书等文件，对每项产品要求和过程环节进行风险分析。做到每一个环节严格控制，严格把关，确保每个零件的生产都符合相关要求，确保最终产品质量的合格。</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在工序，实施三检制，即自检、互检、专检，对产品质量进行严格把控。在整个流程中，如进货检验、过程检验、最终检验，进行层层把关。并根据需要，开展质量管理体系审核、过程审核、产品审核等工作。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公司在质量管理和控制上，建立了评审放行制度，防范质量安全风险。公司制定了质量安全应急预案，成立了以总经理为组长，</w:t>
      </w:r>
      <w:r>
        <w:rPr>
          <w:rFonts w:hint="eastAsia" w:ascii="宋体" w:hAnsi="宋体"/>
          <w:sz w:val="28"/>
          <w:szCs w:val="28"/>
        </w:rPr>
        <w:t>技术部、品质部、</w:t>
      </w:r>
      <w:r>
        <w:rPr>
          <w:rFonts w:hint="eastAsia" w:cs="仿宋_GB2312" w:asciiTheme="minorEastAsia" w:hAnsiTheme="minorEastAsia" w:eastAsiaTheme="minorEastAsia"/>
          <w:color w:val="000000" w:themeColor="text1"/>
          <w:sz w:val="28"/>
          <w:szCs w:val="28"/>
        </w:rPr>
        <w:t>为副组长，</w:t>
      </w:r>
      <w:r>
        <w:rPr>
          <w:rFonts w:hint="eastAsia" w:ascii="宋体" w:hAnsi="宋体"/>
          <w:sz w:val="28"/>
          <w:szCs w:val="28"/>
        </w:rPr>
        <w:t>生产部、销售部、行政部、采购部</w:t>
      </w:r>
      <w:r>
        <w:rPr>
          <w:rFonts w:hint="eastAsia" w:cs="仿宋_GB2312" w:asciiTheme="minorEastAsia" w:hAnsiTheme="minorEastAsia" w:eastAsiaTheme="minorEastAsia"/>
          <w:color w:val="000000" w:themeColor="text1"/>
          <w:sz w:val="28"/>
          <w:szCs w:val="28"/>
        </w:rPr>
        <w:t>为组员的应急领导小组。并明确了应急领导小组及各相关部门职责。</w:t>
      </w:r>
    </w:p>
    <w:p>
      <w:pPr>
        <w:spacing w:line="360" w:lineRule="auto"/>
        <w:ind w:firstLine="560" w:firstLineChars="200"/>
        <w:rPr>
          <w:rFonts w:ascii="宋体" w:hAnsi="宋体"/>
          <w:color w:val="000000"/>
          <w:sz w:val="28"/>
          <w:szCs w:val="28"/>
        </w:rPr>
      </w:pPr>
      <w:r>
        <w:rPr>
          <w:rFonts w:hint="eastAsia" w:cs="仿宋_GB2312" w:asciiTheme="minorEastAsia" w:hAnsiTheme="minorEastAsia" w:eastAsiaTheme="minorEastAsia"/>
          <w:color w:val="000000" w:themeColor="text1"/>
          <w:sz w:val="28"/>
          <w:szCs w:val="28"/>
        </w:rPr>
        <w:t>公司加强防范和降低质量安全风险，</w:t>
      </w:r>
      <w:r>
        <w:rPr>
          <w:rFonts w:hint="eastAsia" w:ascii="宋体" w:hAnsi="宋体"/>
          <w:color w:val="000000"/>
          <w:sz w:val="28"/>
          <w:szCs w:val="28"/>
        </w:rPr>
        <w:t>建立并保持《质量诚信控制程序》、《质量失信事件应急预案》，以针对潜在的质量失信事件或紧急、突发事件，做出快速及时的响应。避免、减少、控制对组织品牌效应产生的负面影响。</w:t>
      </w:r>
    </w:p>
    <w:p>
      <w:pPr>
        <w:spacing w:line="360" w:lineRule="auto"/>
        <w:ind w:firstLine="2280" w:firstLineChars="950"/>
        <w:rPr>
          <w:rFonts w:ascii="微软雅黑" w:hAnsi="微软雅黑" w:eastAsia="微软雅黑" w:cs="仿宋_GB2312"/>
          <w:color w:val="000000" w:themeColor="text1"/>
          <w:sz w:val="24"/>
        </w:rPr>
      </w:pPr>
    </w:p>
    <w:p>
      <w:pPr>
        <w:spacing w:line="360" w:lineRule="auto"/>
        <w:ind w:firstLine="2280" w:firstLineChars="950"/>
        <w:rPr>
          <w:rFonts w:ascii="微软雅黑" w:hAnsi="微软雅黑" w:eastAsia="微软雅黑" w:cs="仿宋_GB2312"/>
          <w:color w:val="000000" w:themeColor="text1"/>
          <w:sz w:val="24"/>
        </w:rPr>
      </w:pPr>
    </w:p>
    <w:p>
      <w:pPr>
        <w:spacing w:line="360" w:lineRule="auto"/>
        <w:ind w:firstLine="2280" w:firstLineChars="950"/>
        <w:rPr>
          <w:rFonts w:ascii="微软雅黑" w:hAnsi="微软雅黑" w:eastAsia="微软雅黑" w:cs="仿宋_GB2312"/>
          <w:color w:val="000000" w:themeColor="text1"/>
          <w:sz w:val="24"/>
        </w:rPr>
      </w:pPr>
    </w:p>
    <w:p>
      <w:pPr>
        <w:spacing w:line="360" w:lineRule="auto"/>
        <w:rPr>
          <w:rFonts w:ascii="微软雅黑" w:hAnsi="微软雅黑" w:eastAsia="微软雅黑" w:cs="仿宋_GB2312"/>
          <w:color w:val="000000" w:themeColor="text1"/>
          <w:sz w:val="24"/>
        </w:rPr>
      </w:pPr>
    </w:p>
    <w:p>
      <w:pPr>
        <w:spacing w:line="360" w:lineRule="auto"/>
        <w:rPr>
          <w:rFonts w:ascii="微软雅黑" w:hAnsi="微软雅黑" w:eastAsia="微软雅黑" w:cs="仿宋_GB2312"/>
          <w:color w:val="000000" w:themeColor="text1"/>
          <w:sz w:val="24"/>
        </w:rPr>
      </w:pPr>
    </w:p>
    <w:p>
      <w:pPr>
        <w:spacing w:line="360" w:lineRule="auto"/>
        <w:jc w:val="center"/>
        <w:rPr>
          <w:rFonts w:ascii="微软雅黑" w:hAnsi="微软雅黑" w:eastAsia="微软雅黑" w:cs="仿宋_GB2312"/>
          <w:color w:val="000000" w:themeColor="text1"/>
          <w:sz w:val="24"/>
        </w:rPr>
      </w:pPr>
      <w:r>
        <w:rPr>
          <w:rFonts w:hint="eastAsia" w:ascii="微软雅黑" w:hAnsi="微软雅黑" w:eastAsia="微软雅黑" w:cs="仿宋_GB2312"/>
          <w:color w:val="000000" w:themeColor="text1"/>
          <w:sz w:val="24"/>
        </w:rPr>
        <w:t>图表2风险管理流程图</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 xml:space="preserve">         </w:t>
      </w:r>
      <w:r>
        <w:rPr>
          <w:rFonts w:cs="仿宋_GB2312" w:asciiTheme="minorEastAsia" w:hAnsiTheme="minorEastAsia" w:eastAsiaTheme="minorEastAsia"/>
          <w:color w:val="000000" w:themeColor="text1"/>
          <w:sz w:val="28"/>
          <w:szCs w:val="28"/>
        </w:rPr>
        <w:drawing>
          <wp:inline distT="0" distB="0" distL="0" distR="0">
            <wp:extent cx="3771900" cy="3181350"/>
            <wp:effectExtent l="19050" t="0" r="0" b="0"/>
            <wp:docPr id="6" name="图片 3" descr="http://www.china-medicines.com/images/image/20140714103705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http://www.china-medicines.com/images/image/2014071410370513513.jpg"/>
                    <pic:cNvPicPr>
                      <a:picLocks noChangeAspect="1" noChangeArrowheads="1"/>
                    </pic:cNvPicPr>
                  </pic:nvPicPr>
                  <pic:blipFill>
                    <a:blip r:embed="rId8"/>
                    <a:srcRect/>
                    <a:stretch>
                      <a:fillRect/>
                    </a:stretch>
                  </pic:blipFill>
                  <pic:spPr>
                    <a:xfrm>
                      <a:off x="0" y="0"/>
                      <a:ext cx="3771900" cy="3181350"/>
                    </a:xfrm>
                    <a:prstGeom prst="rect">
                      <a:avLst/>
                    </a:prstGeom>
                    <a:noFill/>
                    <a:ln w="9525">
                      <a:noFill/>
                      <a:miter lim="800000"/>
                      <a:headEnd/>
                      <a:tailEnd/>
                    </a:ln>
                  </pic:spPr>
                </pic:pic>
              </a:graphicData>
            </a:graphic>
          </wp:inline>
        </w:drawing>
      </w:r>
      <w:r>
        <w:rPr>
          <w:rFonts w:cs="Arial" w:asciiTheme="minorEastAsia" w:hAnsiTheme="minorEastAsia" w:eastAsiaTheme="minorEastAsia"/>
          <w:color w:val="000000" w:themeColor="text1"/>
          <w:kern w:val="0"/>
          <w:sz w:val="18"/>
          <w:szCs w:val="18"/>
        </w:rPr>
        <w:t> </w:t>
      </w:r>
      <w:bookmarkStart w:id="4" w:name="_Toc451594568"/>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2.3质量诚信管理</w:t>
      </w:r>
      <w:bookmarkEnd w:id="4"/>
    </w:p>
    <w:p>
      <w:pPr>
        <w:widowControl/>
        <w:shd w:val="clear" w:color="auto" w:fill="FFFFFF"/>
        <w:spacing w:line="480" w:lineRule="exact"/>
        <w:rPr>
          <w:rFonts w:cs="宋体" w:asciiTheme="minorEastAsia" w:hAnsiTheme="minorEastAsia"/>
          <w:b/>
          <w:bCs/>
          <w:color w:val="000000"/>
          <w:kern w:val="0"/>
          <w:sz w:val="28"/>
          <w:szCs w:val="28"/>
        </w:rPr>
      </w:pPr>
      <w:r>
        <w:rPr>
          <w:rFonts w:hint="eastAsia" w:cs="宋体" w:asciiTheme="minorEastAsia" w:hAnsiTheme="minorEastAsia"/>
          <w:b/>
          <w:bCs/>
          <w:color w:val="000000"/>
          <w:kern w:val="0"/>
          <w:sz w:val="28"/>
          <w:szCs w:val="28"/>
        </w:rPr>
        <w:t>2.3.1总则</w:t>
      </w:r>
    </w:p>
    <w:p>
      <w:pPr>
        <w:spacing w:line="360" w:lineRule="auto"/>
        <w:ind w:left="3275" w:leftChars="26" w:hanging="3220" w:hangingChars="1150"/>
        <w:rPr>
          <w:rFonts w:cs="宋体" w:asciiTheme="minorEastAsia" w:hAnsiTheme="minorEastAsia" w:eastAsiaTheme="minorEastAsia"/>
          <w:b/>
          <w:kern w:val="0"/>
          <w:sz w:val="28"/>
          <w:szCs w:val="28"/>
          <w:u w:val="single"/>
          <w:lang w:val="zh-CN"/>
        </w:rPr>
      </w:pPr>
      <w:r>
        <w:rPr>
          <w:rFonts w:hint="eastAsia" w:cs="宋体" w:asciiTheme="minorEastAsia" w:hAnsiTheme="minorEastAsia" w:eastAsiaTheme="minorEastAsia"/>
          <w:kern w:val="0"/>
          <w:sz w:val="28"/>
          <w:szCs w:val="28"/>
          <w:lang w:val="zh-CN"/>
        </w:rPr>
        <w:t>1、</w:t>
      </w:r>
      <w:r>
        <w:rPr>
          <w:rFonts w:hint="eastAsia" w:ascii="宋体" w:hAnsi="宋体" w:cs="宋体"/>
          <w:b/>
          <w:kern w:val="0"/>
          <w:sz w:val="28"/>
          <w:szCs w:val="28"/>
          <w:u w:val="single"/>
          <w:lang w:val="zh-CN"/>
        </w:rPr>
        <w:t>质量诚信方针：以质量求生存，以科技求发展，以管理求效益，</w:t>
      </w:r>
    </w:p>
    <w:p>
      <w:pPr>
        <w:spacing w:line="360" w:lineRule="auto"/>
        <w:ind w:left="3280" w:leftChars="1227" w:hanging="703" w:hangingChars="250"/>
        <w:rPr>
          <w:rFonts w:ascii="宋体" w:hAnsi="宋体" w:cs="宋体"/>
          <w:b/>
          <w:kern w:val="0"/>
          <w:sz w:val="28"/>
          <w:szCs w:val="28"/>
          <w:u w:val="single"/>
          <w:lang w:val="zh-CN"/>
        </w:rPr>
      </w:pPr>
      <w:r>
        <w:rPr>
          <w:rFonts w:hint="eastAsia" w:ascii="宋体" w:hAnsi="宋体" w:cs="宋体"/>
          <w:b/>
          <w:kern w:val="0"/>
          <w:sz w:val="28"/>
          <w:szCs w:val="28"/>
          <w:u w:val="single"/>
          <w:lang w:val="zh-CN"/>
        </w:rPr>
        <w:t>以诚信求市场</w:t>
      </w:r>
      <w:r>
        <w:rPr>
          <w:rFonts w:hint="eastAsia" w:cs="宋体" w:asciiTheme="minorEastAsia" w:hAnsiTheme="minorEastAsia" w:eastAsiaTheme="minorEastAsia"/>
          <w:b/>
          <w:kern w:val="0"/>
          <w:sz w:val="28"/>
          <w:szCs w:val="28"/>
          <w:u w:val="single"/>
          <w:lang w:val="zh-CN"/>
        </w:rPr>
        <w:t>。</w:t>
      </w:r>
    </w:p>
    <w:p>
      <w:pPr>
        <w:spacing w:line="360" w:lineRule="auto"/>
        <w:jc w:val="left"/>
        <w:rPr>
          <w:rFonts w:ascii="宋体" w:hAnsi="Calibri" w:cs="宋体"/>
          <w:kern w:val="0"/>
          <w:sz w:val="28"/>
          <w:szCs w:val="28"/>
          <w:lang w:val="zh-CN"/>
        </w:rPr>
      </w:pPr>
      <w:r>
        <w:rPr>
          <w:rFonts w:hint="eastAsia" w:asciiTheme="minorEastAsia" w:hAnsiTheme="minorEastAsia" w:eastAsiaTheme="minorEastAsia"/>
          <w:sz w:val="28"/>
          <w:szCs w:val="28"/>
        </w:rPr>
        <w:t>2、</w:t>
      </w:r>
      <w:r>
        <w:rPr>
          <w:rFonts w:hint="eastAsia"/>
          <w:sz w:val="28"/>
          <w:szCs w:val="28"/>
        </w:rPr>
        <w:t>企业质量诚信经营方针以质量诚信经营来满足顾客需求和社会责任为关注焦点，充分体现对顾客需求在承诺；对质量诚信管理体系的有效性进行待续改进。管理评审对质量诚信方针适宜性、待续性做出评价并进行相应的修改，使其待续地适合本公司发展的宗旨，质量诚信经营和满足顾客要求。</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2.3.2质量承诺</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1）诚信守法</w:t>
      </w:r>
    </w:p>
    <w:p>
      <w:pPr>
        <w:spacing w:line="360" w:lineRule="auto"/>
        <w:ind w:left="-141" w:leftChars="-67" w:firstLine="840" w:firstLineChars="3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高层领导遵循“依法经营、诚信经营”的管理理念，严格遵循《公司法》、《经济法》、《合同法》、《产品质量法》、《安全生产法》、《劳动法》以及行业的相关法律法规，并建立实施了质量、环境、职业健康安全管理体系，并都通过了认证。实施了员工法律法规知识培训，配合政府部门开展普法教育活动，鼓励表彰员工的“正能量”，使诚信守法的作风深入公司全体员工的意识和行为。</w:t>
      </w:r>
    </w:p>
    <w:p>
      <w:pPr>
        <w:spacing w:line="360" w:lineRule="auto"/>
        <w:ind w:left="-141" w:leftChars="-67" w:firstLine="700" w:firstLineChars="2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公司合同主动违约率为零，从不拖欠银行贷款，逾期应收账款降至合理范围，公司高层、中层领导都没有违法乱纪纪录，员工违法次数为零，在顾客、供方、员工、社会中树立了良好的信用道德形象。</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2）满足客户需求</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高度重视技术研发，通过自主研发产品，提升产品质量，以较高的性价比为客户提供高水平的产品。公司加强研发力量的投入，以客户需求为中心，积极听取客户关于功能、质量、成本等方面的意见和建议，开展产品改进和创新活动，满足客户对产品和交期的需求。在产品质量方面，公司严格执行质量管理体系，通过开展技术攻关、质量改进等活动，保障产品质量安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多年来，公司在整个经营活动中，严格遵守与各有关方签订的保密协议，获得了顾客的高度评价，并经常被顾客约请参与顾客新项目的开发工作。</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2.3.3运作管理</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1）产品设计诚信管理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公司产品设计与研发是从研发立项、过程各类活动记录、研发过程总结控制研发相关的整个过程。尊重他人知识和参与践行保护知识产权是公司设计开发工作的重要内容之一。</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2）原材料采购诚信管理</w:t>
      </w:r>
    </w:p>
    <w:p>
      <w:pPr>
        <w:spacing w:line="300" w:lineRule="auto"/>
        <w:ind w:firstLine="560" w:firstLineChars="200"/>
        <w:rPr>
          <w:rFonts w:ascii="仿宋" w:hAnsi="仿宋" w:eastAsia="仿宋"/>
          <w:color w:val="000000"/>
          <w:sz w:val="28"/>
          <w:szCs w:val="28"/>
        </w:rPr>
      </w:pPr>
      <w:r>
        <w:rPr>
          <w:rFonts w:hint="eastAsia"/>
          <w:sz w:val="28"/>
          <w:szCs w:val="28"/>
        </w:rPr>
        <w:t>公司采购部采购各类产品生产用原辅料，供应链建设成为公司战略推进的重要工作内容，采购过程的高效性和有效性直接影响到公司价值创造能力和满足市场及顾客变动需求的应变能力。公司依托于多年建立的采购网络，与供应商建立稳固的合作关系及时稳定的为产品制造和市场营销服务过程提供了优质、优价原辅料。</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原材料对产品质量构成的风险程度，将原材料分类管理。对原材料供应商，除了必须符合法定的资质外，还要定期进行现场查验。对重要原材料进行风险分析，视供应商提供原材料的质量情况决定是否需进行现场审查。并对原材料供应商应当建立质量档案。对采购的原材料批次进行检验，凡未达到规定标准的原材料一律不得入库使用。</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在原材料采购方面，对供应商的相关资质进行严格审查，确保原材料符合质量要求。</w:t>
      </w:r>
    </w:p>
    <w:p>
      <w:pPr>
        <w:spacing w:line="360" w:lineRule="auto"/>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3）生产过程诚信管理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生产部具体负责产品生产管理和现场流程管理工作。制定并逐步完善了生产管理制度、工作标准、岗位操作规程和工艺规程、管理规程、标准操作规程。采用车间集中培训和班前、班后会对各岗位操作人员进行全面的岗位技能培训，持证上岗，并采用多种方式进行督查、考核，增强员工质量意识，提高操作水平，在生产过程中，各级管理人员严格履行管理职责，及时检查，及时纠正差错，保证生产秩序的稳定。</w:t>
      </w:r>
    </w:p>
    <w:p>
      <w:pPr>
        <w:spacing w:line="360" w:lineRule="auto"/>
        <w:ind w:firstLine="700" w:firstLineChars="2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生产所需的原料、辅料、包装材料进行投料前复核，把好中间产品、成品的质量，严格执行“不生产不合格品，不接收不合格品，不流转不合格品”的“三不原则”，督促员工做好自检、互检，执行监控核查规程，严格记录的管理，做到领用、发放和核对相统一。对每一生产步骤进行原材料平衡，保证原材料的投入和产品的产出数量与工艺要求相一致，确认无潜在质量隐患，符合账、物、卡一致的要求。</w:t>
      </w:r>
    </w:p>
    <w:p>
      <w:pPr>
        <w:spacing w:line="360" w:lineRule="auto"/>
        <w:ind w:firstLine="700" w:firstLineChars="25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员工操作必须按要求及时填写生产记录，做到字迹清晰、内容真实、数据完整，操作人及复核人签名确认。生产结束后，记录汇总、复核，及时上交，记录由专人管理。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根据行业特点及实际情况，加强生产过程的信息化建设水平，在应用ERP系统对整个过程进行数据采集和监控，对公司整个生产过程实行系统化管理。同时，挖掘内部潜力，发挥技术骨干人员的力量，开展对现有设备进行持续性改造或科技创新工作，成立技术攻关小组，对薄弱环节进行技术攻关。生产操作工上岗前要经过培训及考核，建立全员培训档案，通过集中培训、班前会培训、“传、帮、带”、目视化等多种方式进行培训，强化其工作技能和质量意识。生产员工严格遵守车间纪律。</w:t>
      </w:r>
    </w:p>
    <w:p>
      <w:pPr>
        <w:pStyle w:val="104"/>
        <w:spacing w:before="156" w:after="156"/>
        <w:ind w:firstLine="0" w:firstLineChars="0"/>
        <w:rPr>
          <w:rFonts w:asciiTheme="minorEastAsia" w:hAnsiTheme="minorEastAsia" w:eastAsiaTheme="minorEastAsia"/>
          <w:b/>
          <w:sz w:val="28"/>
          <w:szCs w:val="28"/>
        </w:rPr>
      </w:pPr>
      <w:r>
        <w:rPr>
          <w:rFonts w:hint="eastAsia" w:asciiTheme="minorEastAsia" w:hAnsiTheme="minorEastAsia" w:eastAsiaTheme="minorEastAsia"/>
          <w:b/>
          <w:sz w:val="28"/>
          <w:szCs w:val="28"/>
        </w:rPr>
        <w:t>2.3.4营销管理</w:t>
      </w:r>
    </w:p>
    <w:p>
      <w:pPr>
        <w:spacing w:line="360" w:lineRule="auto"/>
        <w:ind w:firstLine="560" w:firstLineChars="200"/>
        <w:rPr>
          <w:rFonts w:cs="仿宋_GB2312" w:asciiTheme="minorEastAsia" w:hAnsiTheme="minorEastAsia" w:eastAsiaTheme="minorEastAsia"/>
          <w:color w:val="000000" w:themeColor="text1"/>
          <w:sz w:val="28"/>
          <w:szCs w:val="28"/>
        </w:rPr>
      </w:pPr>
      <w:bookmarkStart w:id="5" w:name="_Toc451594569"/>
      <w:r>
        <w:rPr>
          <w:rFonts w:hint="eastAsia" w:cs="仿宋_GB2312" w:asciiTheme="minorEastAsia" w:hAnsiTheme="minorEastAsia" w:eastAsiaTheme="minorEastAsia"/>
          <w:color w:val="000000" w:themeColor="text1"/>
          <w:sz w:val="28"/>
          <w:szCs w:val="28"/>
        </w:rPr>
        <w:t>公司根据战略要求，对市场进行细分，以提高资源和运作的有效性针对性。公司将顾客分为不同类型。针对不同类型顾客确定顾客的需求与期望，针对其需求与期望来确定适当的方法，建立相应的体系与团队，建立各种渠道和方法，针对性的进行顾客需求与期望的了解。</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公司通过展览会、行业会议、公共媒体、互联网、外部机构等渠道，以问卷调查、面对面或电话访谈、观察查询、外部委托等方法，了解客户的需求和期望。</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销售部定期搜集顾客信息，解析后确定的顾客需求信息按照不同细分市场进行分类梳理总结，形成不同顾客群的需求与期望数据库，并从中归纳出针对不同细分市场顾客群需求特点的汇总资料，供产品规划、产品开发设计、过程控制等决策时参考。</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公司树立“以客户需求为导向”的服务理念，要求业务人员对于任何一位客户，不论他下单与否，都要做到热情、周到，都要尽量满足他们的所有合理需求。制订了</w:t>
      </w:r>
      <w:r>
        <w:rPr>
          <w:rFonts w:hint="eastAsia" w:ascii="宋体" w:hAnsi="宋体" w:cs="宋体"/>
          <w:color w:val="000000" w:themeColor="text1"/>
          <w:sz w:val="28"/>
          <w:szCs w:val="28"/>
        </w:rPr>
        <w:t>顾客投诉处理流程</w:t>
      </w:r>
      <w:r>
        <w:rPr>
          <w:rFonts w:hint="eastAsia" w:cs="仿宋_GB2312" w:asciiTheme="minorEastAsia" w:hAnsiTheme="minorEastAsia" w:eastAsiaTheme="minorEastAsia"/>
          <w:color w:val="000000" w:themeColor="text1"/>
          <w:sz w:val="28"/>
          <w:szCs w:val="28"/>
        </w:rPr>
        <w:t>，从各方面增加业务人员的技能和素质，提升了顾客满意率。</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公司及时了解顾客需求和满意情况，以提升顾客满意度。</w:t>
      </w:r>
    </w:p>
    <w:p>
      <w:pPr>
        <w:pStyle w:val="104"/>
        <w:spacing w:before="156" w:after="156"/>
        <w:ind w:firstLine="0" w:firstLineChars="0"/>
        <w:rPr>
          <w:rFonts w:asciiTheme="minorEastAsia" w:hAnsiTheme="minorEastAsia" w:eastAsiaTheme="minorEastAsia"/>
          <w:b/>
          <w:sz w:val="28"/>
          <w:szCs w:val="28"/>
        </w:rPr>
      </w:pPr>
      <w:r>
        <w:rPr>
          <w:rFonts w:hint="eastAsia" w:asciiTheme="minorEastAsia" w:hAnsiTheme="minorEastAsia" w:eastAsiaTheme="minorEastAsia"/>
          <w:b/>
          <w:sz w:val="28"/>
          <w:szCs w:val="28"/>
        </w:rPr>
        <w:t>2.4质量管理基础</w:t>
      </w:r>
      <w:bookmarkEnd w:id="5"/>
    </w:p>
    <w:p>
      <w:pPr>
        <w:pStyle w:val="104"/>
        <w:spacing w:before="156" w:after="156"/>
        <w:ind w:firstLine="0" w:firstLineChars="0"/>
        <w:rPr>
          <w:rFonts w:ascii="宋体" w:hAnsi="宋体"/>
          <w:b/>
          <w:sz w:val="28"/>
          <w:szCs w:val="28"/>
        </w:rPr>
      </w:pPr>
      <w:r>
        <w:rPr>
          <w:rFonts w:hint="eastAsia" w:asciiTheme="minorEastAsia" w:hAnsiTheme="minorEastAsia" w:eastAsiaTheme="minorEastAsia"/>
          <w:b/>
          <w:sz w:val="28"/>
          <w:szCs w:val="28"/>
        </w:rPr>
        <w:t>2.4.1</w:t>
      </w:r>
      <w:r>
        <w:rPr>
          <w:rFonts w:hint="eastAsia" w:ascii="宋体" w:hAnsi="宋体"/>
          <w:b/>
          <w:sz w:val="28"/>
          <w:szCs w:val="28"/>
        </w:rPr>
        <w:t>总则</w:t>
      </w:r>
    </w:p>
    <w:p>
      <w:pPr>
        <w:pStyle w:val="104"/>
        <w:spacing w:before="156" w:after="156"/>
        <w:ind w:firstLine="560"/>
        <w:rPr>
          <w:sz w:val="28"/>
          <w:szCs w:val="28"/>
        </w:rPr>
      </w:pPr>
      <w:r>
        <w:rPr>
          <w:rFonts w:hint="eastAsia"/>
          <w:sz w:val="28"/>
          <w:szCs w:val="28"/>
        </w:rPr>
        <w:t>产品质量是企业的生命线，是开展经营活动的基础。在多年的经营过程中，企业按照现代化和精细化管理流程，严格制定质量标准化、计量化、将认证体系落实到实处、并通过</w:t>
      </w:r>
      <w:r>
        <w:rPr>
          <w:sz w:val="28"/>
          <w:szCs w:val="28"/>
        </w:rPr>
        <w:t>检验</w:t>
      </w:r>
      <w:r>
        <w:rPr>
          <w:rFonts w:hint="eastAsia"/>
          <w:sz w:val="28"/>
          <w:szCs w:val="28"/>
        </w:rPr>
        <w:t>检测管理等方面，产出标准化、高效率的产品。</w:t>
      </w:r>
    </w:p>
    <w:p>
      <w:pPr>
        <w:pStyle w:val="104"/>
        <w:spacing w:before="156" w:after="156"/>
        <w:ind w:firstLine="0" w:firstLineChars="0"/>
        <w:rPr>
          <w:rFonts w:asciiTheme="minorEastAsia" w:hAnsiTheme="minorEastAsia" w:eastAsiaTheme="minorEastAsia"/>
          <w:b/>
          <w:sz w:val="28"/>
          <w:szCs w:val="28"/>
        </w:rPr>
      </w:pPr>
      <w:r>
        <w:rPr>
          <w:rFonts w:hint="eastAsia" w:asciiTheme="minorEastAsia" w:hAnsiTheme="minorEastAsia" w:eastAsiaTheme="minorEastAsia"/>
          <w:b/>
          <w:sz w:val="28"/>
          <w:szCs w:val="28"/>
        </w:rPr>
        <w:t>2.4.2标准管理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将企业标准化贯穿于生产全过程，从原辅材料、包装材料的采购、半成品、成品检验等各个环节，均制定了相关标准。从而使产品从原辅材料进厂到成品出厂的整个生产过程都处于标准化规范管理之中，对稳定产品质量、提高企业管理水平奠定了良好的基础。</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2.4.3计量管理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从原材料采购、过程管理、生产设备、检验设备、工序检验、成品检验等环节建立了一整套管理文件和控制方法。设有专兼职计量人员负责公司的在用计量设备管理、配备和定期校检工作，注重对计量管理人员的专业培训，为公司的计量管理的规范化提供了有力的保障。</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为确保产品质量，在产品生产工艺中严格过程控制，对生产工艺过程中的原辅材料等加强计量管理，确保计量设备的正常运行和计量的准确性。</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对计量器具从采购、入库出库严格按照审批计划和管理程序执行，仓库有专人保管计量器具，建立台帐和登记手续，计量器具的领用出库必须通过检定，有检定合格证方可投入使用；对在用的计量器具严格按周期检定，强化现场检查和监管，掌握其使用情况，发现问题及时处理；对存在问题部门提出整改意见，采取积极有效措施进行整改，为生产优质产品奠定了坚实的的计量基础。</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在设计和开发阶段，就对关键特性实施测量系统分析，确保了测量结果的有效性。每种新的测量系统，都是在系统分析并满足要求后，方可投入使用。</w:t>
      </w:r>
    </w:p>
    <w:p>
      <w:pPr>
        <w:pStyle w:val="104"/>
        <w:spacing w:before="156" w:after="156"/>
        <w:ind w:firstLine="0" w:firstLineChars="0"/>
        <w:rPr>
          <w:rFonts w:asciiTheme="minorEastAsia" w:hAnsiTheme="minorEastAsia" w:eastAsiaTheme="minorEastAsia"/>
          <w:b/>
          <w:sz w:val="28"/>
          <w:szCs w:val="28"/>
        </w:rPr>
      </w:pPr>
      <w:r>
        <w:rPr>
          <w:rFonts w:hint="eastAsia" w:asciiTheme="minorEastAsia" w:hAnsiTheme="minorEastAsia" w:eastAsiaTheme="minorEastAsia"/>
          <w:b/>
          <w:sz w:val="28"/>
          <w:szCs w:val="28"/>
        </w:rPr>
        <w:t>2.4.4认证管理</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已通过质量管理体系认证、环境管理体系认证、职业健康安全管理体系认证，并开展“浙江制造”品牌认证流程，公司严格按“浙江制造”团体标准运行改进体系，使企业产品的质量得到有力的保障，从而使企业以优质产品赢得客户信赖，以贴心服务满足客户需求，以创新科技保证企业发展，以良好信誉开拓全球市场”的质量方针得以顺利推行。公司建立以来，公司从未出现过重大质量投诉，在历年接受各级质量技术研发中心门的抽检中，合格率均达100%。</w:t>
      </w:r>
    </w:p>
    <w:p>
      <w:pPr>
        <w:pStyle w:val="104"/>
        <w:spacing w:before="156" w:after="156"/>
        <w:ind w:firstLine="0" w:firstLineChars="0"/>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2.4.5检验检测管理</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公司通过对进货的检验与试验，以保证提供的原材料及零部件符合</w:t>
      </w:r>
      <w:r>
        <w:rPr>
          <w:rFonts w:asciiTheme="minorEastAsia" w:hAnsiTheme="minorEastAsia" w:eastAsiaTheme="minorEastAsia"/>
          <w:b/>
          <w:sz w:val="28"/>
          <w:szCs w:val="28"/>
          <w:u w:val="single"/>
        </w:rPr>
        <w:t xml:space="preserve">浙江制造团体标准T/ZZB </w:t>
      </w:r>
      <w:r>
        <w:rPr>
          <w:rFonts w:hint="eastAsia" w:asciiTheme="minorEastAsia" w:hAnsiTheme="minorEastAsia" w:eastAsiaTheme="minorEastAsia"/>
          <w:b/>
          <w:sz w:val="28"/>
          <w:szCs w:val="28"/>
          <w:u w:val="single"/>
        </w:rPr>
        <w:t xml:space="preserve"> 1684—2020《发饰　头扣和发夹》</w:t>
      </w:r>
      <w:r>
        <w:rPr>
          <w:rFonts w:hint="eastAsia" w:cs="仿宋_GB2312" w:asciiTheme="minorEastAsia" w:hAnsiTheme="minorEastAsia" w:eastAsiaTheme="minorEastAsia"/>
          <w:color w:val="000000" w:themeColor="text1"/>
          <w:sz w:val="28"/>
          <w:szCs w:val="28"/>
        </w:rPr>
        <w:t>规定的要求。品质部负责编制</w:t>
      </w:r>
      <w:r>
        <w:rPr>
          <w:rFonts w:hint="eastAsia" w:hAnsi="宋体"/>
          <w:sz w:val="28"/>
          <w:szCs w:val="28"/>
        </w:rPr>
        <w:t>原材料检验规程</w:t>
      </w:r>
      <w:r>
        <w:rPr>
          <w:rFonts w:hint="eastAsia" w:cs="仿宋_GB2312" w:asciiTheme="minorEastAsia" w:hAnsiTheme="minorEastAsia" w:eastAsiaTheme="minorEastAsia"/>
          <w:color w:val="000000" w:themeColor="text1"/>
          <w:sz w:val="28"/>
          <w:szCs w:val="28"/>
        </w:rPr>
        <w:t>，负责进货的抽检，负责不合格原材料处理；仓库负责点收原材料的进货数量、名称及账务等。</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为保证所有产品在生产过程中都通过规定的检验后才能进入下一道工序，公司开展严格的产品过程检验。品质部负责制订</w:t>
      </w:r>
      <w:r>
        <w:rPr>
          <w:rFonts w:hint="eastAsia" w:hAnsi="宋体"/>
          <w:sz w:val="28"/>
          <w:szCs w:val="28"/>
        </w:rPr>
        <w:t>过程检验流程、成品检验流程和检验规程，</w:t>
      </w:r>
      <w:r>
        <w:rPr>
          <w:rFonts w:hint="eastAsia" w:cs="仿宋_GB2312" w:asciiTheme="minorEastAsia" w:hAnsiTheme="minorEastAsia" w:eastAsiaTheme="minorEastAsia"/>
          <w:color w:val="000000" w:themeColor="text1"/>
          <w:sz w:val="28"/>
          <w:szCs w:val="28"/>
        </w:rPr>
        <w:t>设立最终检验的检验点，并负责组织检验工作；质检员负责检验点的检查、半成品、成品的检验；各生产操作工负责自检、互检工作。</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2.5产品质量责任</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2.5.1总则</w:t>
      </w:r>
    </w:p>
    <w:p>
      <w:pPr>
        <w:ind w:firstLine="560" w:firstLineChars="200"/>
        <w:jc w:val="left"/>
        <w:rPr>
          <w:rFonts w:ascii="宋体" w:hAnsi="宋体"/>
          <w:bCs/>
          <w:color w:val="323E32"/>
          <w:sz w:val="28"/>
          <w:szCs w:val="28"/>
        </w:rPr>
      </w:pPr>
      <w:r>
        <w:rPr>
          <w:rFonts w:hint="eastAsia" w:ascii="宋体" w:hAnsi="宋体"/>
          <w:bCs/>
          <w:color w:val="323E32"/>
          <w:sz w:val="28"/>
          <w:szCs w:val="28"/>
        </w:rPr>
        <w:t>公司坚持 “</w:t>
      </w:r>
      <w:r>
        <w:rPr>
          <w:rFonts w:hint="eastAsia" w:ascii="宋体" w:hAnsi="宋体"/>
          <w:b/>
          <w:kern w:val="0"/>
          <w:sz w:val="28"/>
          <w:szCs w:val="28"/>
          <w:u w:val="single"/>
        </w:rPr>
        <w:t>聚焦、创新、坚守、共赢。</w:t>
      </w:r>
      <w:r>
        <w:rPr>
          <w:rFonts w:hint="eastAsia" w:ascii="宋体" w:hAnsi="宋体"/>
          <w:bCs/>
          <w:color w:val="323E32"/>
          <w:sz w:val="28"/>
          <w:szCs w:val="28"/>
        </w:rPr>
        <w:t xml:space="preserve">”的核心价值观，始终如一地追求以质取胜，视产品质量为企业的生命，按浙江制造标准严格生产，为客户提供一流的产品和服务，从而更好地实现企业效益。 </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2.5.2产品质量水平</w:t>
      </w:r>
    </w:p>
    <w:p>
      <w:pPr>
        <w:spacing w:line="360" w:lineRule="auto"/>
        <w:ind w:firstLine="560" w:firstLineChars="200"/>
        <w:rPr>
          <w:rFonts w:cs="仿宋_GB2312" w:asciiTheme="minorEastAsia" w:hAnsiTheme="minorEastAsia" w:eastAsiaTheme="minorEastAsia"/>
          <w:color w:val="000000" w:themeColor="text1"/>
          <w:sz w:val="28"/>
          <w:szCs w:val="28"/>
        </w:rPr>
      </w:pPr>
      <w:r>
        <w:rPr>
          <w:rFonts w:hint="eastAsia" w:cs="仿宋_GB2312" w:asciiTheme="minorEastAsia" w:hAnsiTheme="minorEastAsia" w:eastAsiaTheme="minorEastAsia"/>
          <w:color w:val="000000" w:themeColor="text1"/>
          <w:sz w:val="28"/>
          <w:szCs w:val="28"/>
        </w:rPr>
        <w:t>本公司不断壮大“精干、专业、创新、高效”的设计开发团队，持续改善产品技术水平和质量性能，目前已被国内行业的认可。</w:t>
      </w:r>
    </w:p>
    <w:p>
      <w:pPr>
        <w:spacing w:line="360" w:lineRule="auto"/>
        <w:rPr>
          <w:rFonts w:cs="仿宋_GB2312" w:asciiTheme="minorEastAsia" w:hAnsiTheme="minorEastAsia" w:eastAsiaTheme="minorEastAsia"/>
          <w:b/>
          <w:color w:val="000000" w:themeColor="text1"/>
          <w:sz w:val="28"/>
          <w:szCs w:val="28"/>
        </w:rPr>
      </w:pPr>
      <w:r>
        <w:rPr>
          <w:rFonts w:hint="eastAsia" w:cs="仿宋_GB2312" w:asciiTheme="minorEastAsia" w:hAnsiTheme="minorEastAsia" w:eastAsiaTheme="minorEastAsia"/>
          <w:b/>
          <w:color w:val="000000" w:themeColor="text1"/>
          <w:sz w:val="28"/>
          <w:szCs w:val="28"/>
        </w:rPr>
        <w:t>2.5.3产品售后责任</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建立与顾客接触的主要</w:t>
      </w:r>
      <w:r>
        <w:rPr>
          <w:rFonts w:hint="eastAsia" w:asciiTheme="minorEastAsia" w:hAnsiTheme="minorEastAsia" w:eastAsiaTheme="minorEastAsia"/>
          <w:sz w:val="28"/>
          <w:szCs w:val="28"/>
        </w:rPr>
        <w:t>渠道</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公司提供不同的沟通平台，方便顾客查询信息、交易和投诉，见</w:t>
      </w:r>
      <w:r>
        <w:rPr>
          <w:rFonts w:hint="eastAsia" w:asciiTheme="minorEastAsia" w:hAnsiTheme="minorEastAsia" w:eastAsiaTheme="minorEastAsia"/>
          <w:bCs/>
          <w:sz w:val="28"/>
          <w:szCs w:val="28"/>
        </w:rPr>
        <w:t>图表3</w:t>
      </w:r>
      <w:r>
        <w:rPr>
          <w:rFonts w:hint="eastAsia" w:asciiTheme="minorEastAsia" w:hAnsiTheme="minorEastAsia" w:eastAsiaTheme="minorEastAsia"/>
          <w:sz w:val="28"/>
          <w:szCs w:val="28"/>
        </w:rPr>
        <w:t>，对关键顾客要求及时进行分析，针对存在问题，积极改进。</w:t>
      </w:r>
    </w:p>
    <w:p>
      <w:pPr>
        <w:pStyle w:val="104"/>
        <w:spacing w:before="156" w:after="156"/>
        <w:ind w:firstLine="480"/>
        <w:jc w:val="center"/>
        <w:rPr>
          <w:rFonts w:ascii="微软雅黑" w:hAnsi="微软雅黑" w:eastAsia="微软雅黑"/>
          <w:color w:val="000000"/>
        </w:rPr>
      </w:pPr>
      <w:bookmarkStart w:id="6" w:name="_Ref342590461"/>
      <w:r>
        <w:rPr>
          <w:rFonts w:hint="eastAsia" w:ascii="微软雅黑" w:hAnsi="微软雅黑" w:eastAsia="微软雅黑"/>
        </w:rPr>
        <w:t>图表</w:t>
      </w:r>
      <w:bookmarkEnd w:id="6"/>
      <w:r>
        <w:rPr>
          <w:rFonts w:hint="eastAsia" w:ascii="微软雅黑" w:hAnsi="微软雅黑" w:eastAsia="微软雅黑"/>
        </w:rPr>
        <w:t>3</w:t>
      </w:r>
      <w:r>
        <w:rPr>
          <w:rFonts w:hint="eastAsia" w:ascii="微软雅黑" w:hAnsi="微软雅黑" w:eastAsia="微软雅黑"/>
          <w:color w:val="000000"/>
        </w:rPr>
        <w:t>关键顾客的主要接触方式及要求</w:t>
      </w:r>
    </w:p>
    <w:tbl>
      <w:tblPr>
        <w:tblStyle w:val="21"/>
        <w:tblW w:w="90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2409"/>
        <w:gridCol w:w="2410"/>
        <w:gridCol w:w="31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1101" w:type="dxa"/>
            <w:shd w:val="clear" w:color="auto" w:fill="C6D9F1"/>
            <w:vAlign w:val="center"/>
          </w:tcPr>
          <w:p>
            <w:pPr>
              <w:jc w:val="center"/>
              <w:rPr>
                <w:rFonts w:ascii="微软雅黑" w:hAnsi="微软雅黑" w:eastAsia="微软雅黑"/>
              </w:rPr>
            </w:pPr>
            <w:r>
              <w:rPr>
                <w:rFonts w:hint="eastAsia" w:ascii="微软雅黑" w:hAnsi="微软雅黑" w:eastAsia="微软雅黑"/>
              </w:rPr>
              <w:t>范围</w:t>
            </w:r>
          </w:p>
        </w:tc>
        <w:tc>
          <w:tcPr>
            <w:tcW w:w="2409" w:type="dxa"/>
            <w:shd w:val="clear" w:color="auto" w:fill="C6D9F1"/>
            <w:vAlign w:val="center"/>
          </w:tcPr>
          <w:p>
            <w:pPr>
              <w:jc w:val="center"/>
              <w:rPr>
                <w:rFonts w:ascii="微软雅黑" w:hAnsi="微软雅黑" w:eastAsia="微软雅黑"/>
              </w:rPr>
            </w:pPr>
            <w:r>
              <w:rPr>
                <w:rFonts w:hint="eastAsia" w:ascii="微软雅黑" w:hAnsi="微软雅黑" w:eastAsia="微软雅黑"/>
              </w:rPr>
              <w:t>收集的渠道</w:t>
            </w:r>
          </w:p>
        </w:tc>
        <w:tc>
          <w:tcPr>
            <w:tcW w:w="2410" w:type="dxa"/>
            <w:shd w:val="clear" w:color="auto" w:fill="C6D9F1"/>
            <w:vAlign w:val="center"/>
          </w:tcPr>
          <w:p>
            <w:pPr>
              <w:jc w:val="center"/>
              <w:rPr>
                <w:rFonts w:ascii="微软雅黑" w:hAnsi="微软雅黑" w:eastAsia="微软雅黑"/>
              </w:rPr>
            </w:pPr>
            <w:r>
              <w:rPr>
                <w:rFonts w:hint="eastAsia" w:ascii="微软雅黑" w:hAnsi="微软雅黑" w:eastAsia="微软雅黑"/>
              </w:rPr>
              <w:t>收集的方式</w:t>
            </w:r>
          </w:p>
        </w:tc>
        <w:tc>
          <w:tcPr>
            <w:tcW w:w="3148" w:type="dxa"/>
            <w:shd w:val="clear" w:color="auto" w:fill="C6D9F1"/>
            <w:vAlign w:val="center"/>
          </w:tcPr>
          <w:p>
            <w:pPr>
              <w:jc w:val="center"/>
              <w:rPr>
                <w:rFonts w:ascii="微软雅黑" w:hAnsi="微软雅黑" w:eastAsia="微软雅黑"/>
              </w:rPr>
            </w:pPr>
            <w:r>
              <w:rPr>
                <w:rFonts w:hint="eastAsia" w:ascii="微软雅黑" w:hAnsi="微软雅黑" w:eastAsia="微软雅黑"/>
              </w:rPr>
              <w:t>收集的信息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101" w:type="dxa"/>
            <w:vMerge w:val="restart"/>
            <w:vAlign w:val="center"/>
          </w:tcPr>
          <w:p>
            <w:pPr>
              <w:rPr>
                <w:rFonts w:ascii="微软雅黑" w:hAnsi="微软雅黑" w:eastAsia="微软雅黑"/>
              </w:rPr>
            </w:pPr>
            <w:r>
              <w:rPr>
                <w:rFonts w:hint="eastAsia" w:ascii="微软雅黑" w:hAnsi="微软雅黑" w:eastAsia="微软雅黑"/>
              </w:rPr>
              <w:t>内部</w:t>
            </w:r>
          </w:p>
        </w:tc>
        <w:tc>
          <w:tcPr>
            <w:tcW w:w="2409" w:type="dxa"/>
            <w:vAlign w:val="center"/>
          </w:tcPr>
          <w:p>
            <w:pPr>
              <w:rPr>
                <w:rFonts w:ascii="微软雅黑" w:hAnsi="微软雅黑" w:eastAsia="微软雅黑"/>
              </w:rPr>
            </w:pPr>
            <w:r>
              <w:rPr>
                <w:rFonts w:hint="eastAsia" w:ascii="微软雅黑" w:hAnsi="微软雅黑" w:eastAsia="微软雅黑"/>
              </w:rPr>
              <w:t>客户服务系统收集</w:t>
            </w:r>
          </w:p>
        </w:tc>
        <w:tc>
          <w:tcPr>
            <w:tcW w:w="2410" w:type="dxa"/>
            <w:vAlign w:val="center"/>
          </w:tcPr>
          <w:p>
            <w:pPr>
              <w:rPr>
                <w:rFonts w:ascii="微软雅黑" w:hAnsi="微软雅黑" w:eastAsia="微软雅黑"/>
              </w:rPr>
            </w:pPr>
            <w:r>
              <w:rPr>
                <w:rFonts w:hint="eastAsia" w:ascii="微软雅黑" w:hAnsi="微软雅黑" w:eastAsia="微软雅黑"/>
              </w:rPr>
              <w:t>服务过程或电话收集</w:t>
            </w:r>
          </w:p>
        </w:tc>
        <w:tc>
          <w:tcPr>
            <w:tcW w:w="3148" w:type="dxa"/>
            <w:vAlign w:val="center"/>
          </w:tcPr>
          <w:p>
            <w:pPr>
              <w:rPr>
                <w:rFonts w:ascii="微软雅黑" w:hAnsi="微软雅黑" w:eastAsia="微软雅黑"/>
              </w:rPr>
            </w:pPr>
            <w:r>
              <w:rPr>
                <w:rFonts w:hint="eastAsia" w:ascii="微软雅黑" w:hAnsi="微软雅黑" w:eastAsia="微软雅黑"/>
              </w:rPr>
              <w:t>产品质量信息、顾客需求信息、竞争对手情况、投诉信息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101" w:type="dxa"/>
            <w:vMerge w:val="continue"/>
            <w:vAlign w:val="center"/>
          </w:tcPr>
          <w:p>
            <w:pPr>
              <w:rPr>
                <w:rFonts w:ascii="微软雅黑" w:hAnsi="微软雅黑" w:eastAsia="微软雅黑"/>
              </w:rPr>
            </w:pPr>
          </w:p>
        </w:tc>
        <w:tc>
          <w:tcPr>
            <w:tcW w:w="2409" w:type="dxa"/>
            <w:vAlign w:val="center"/>
          </w:tcPr>
          <w:p>
            <w:pPr>
              <w:rPr>
                <w:rFonts w:ascii="微软雅黑" w:hAnsi="微软雅黑" w:eastAsia="微软雅黑"/>
              </w:rPr>
            </w:pPr>
            <w:r>
              <w:rPr>
                <w:rFonts w:hint="eastAsia" w:ascii="微软雅黑" w:hAnsi="微软雅黑" w:eastAsia="微软雅黑"/>
              </w:rPr>
              <w:t>公司领导等人员走访顾客获取</w:t>
            </w:r>
          </w:p>
        </w:tc>
        <w:tc>
          <w:tcPr>
            <w:tcW w:w="2410" w:type="dxa"/>
            <w:vAlign w:val="center"/>
          </w:tcPr>
          <w:p>
            <w:pPr>
              <w:rPr>
                <w:rFonts w:ascii="微软雅黑" w:hAnsi="微软雅黑" w:eastAsia="微软雅黑"/>
              </w:rPr>
            </w:pPr>
            <w:r>
              <w:rPr>
                <w:rFonts w:hint="eastAsia" w:ascii="微软雅黑" w:hAnsi="微软雅黑" w:eastAsia="微软雅黑"/>
              </w:rPr>
              <w:t>与顾客会谈</w:t>
            </w:r>
          </w:p>
        </w:tc>
        <w:tc>
          <w:tcPr>
            <w:tcW w:w="3148" w:type="dxa"/>
            <w:vAlign w:val="center"/>
          </w:tcPr>
          <w:p>
            <w:pPr>
              <w:rPr>
                <w:rFonts w:ascii="微软雅黑" w:hAnsi="微软雅黑" w:eastAsia="微软雅黑"/>
              </w:rPr>
            </w:pPr>
            <w:r>
              <w:rPr>
                <w:rFonts w:hint="eastAsia" w:ascii="微软雅黑" w:hAnsi="微软雅黑" w:eastAsia="微软雅黑"/>
              </w:rPr>
              <w:t>行业发展趋势、重要顾客关注焦点（影响购买决策的因素的相对重要性）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3" w:hRule="atLeast"/>
          <w:jc w:val="center"/>
        </w:trPr>
        <w:tc>
          <w:tcPr>
            <w:tcW w:w="1101" w:type="dxa"/>
            <w:vMerge w:val="continue"/>
            <w:vAlign w:val="center"/>
          </w:tcPr>
          <w:p>
            <w:pPr>
              <w:rPr>
                <w:rFonts w:ascii="微软雅黑" w:hAnsi="微软雅黑" w:eastAsia="微软雅黑"/>
              </w:rPr>
            </w:pPr>
          </w:p>
        </w:tc>
        <w:tc>
          <w:tcPr>
            <w:tcW w:w="2409" w:type="dxa"/>
            <w:vAlign w:val="center"/>
          </w:tcPr>
          <w:p>
            <w:pPr>
              <w:rPr>
                <w:rFonts w:ascii="微软雅黑" w:hAnsi="微软雅黑" w:eastAsia="微软雅黑"/>
              </w:rPr>
            </w:pPr>
            <w:r>
              <w:rPr>
                <w:rFonts w:hint="eastAsia" w:ascii="微软雅黑" w:hAnsi="微软雅黑" w:eastAsia="微软雅黑"/>
              </w:rPr>
              <w:t>顾客提供</w:t>
            </w:r>
          </w:p>
        </w:tc>
        <w:tc>
          <w:tcPr>
            <w:tcW w:w="2410" w:type="dxa"/>
            <w:vAlign w:val="center"/>
          </w:tcPr>
          <w:p>
            <w:pPr>
              <w:rPr>
                <w:rFonts w:ascii="微软雅黑" w:hAnsi="微软雅黑" w:eastAsia="微软雅黑"/>
              </w:rPr>
            </w:pPr>
            <w:r>
              <w:rPr>
                <w:rFonts w:hint="eastAsia" w:ascii="微软雅黑" w:hAnsi="微软雅黑" w:eastAsia="微软雅黑"/>
              </w:rPr>
              <w:t>信息调研</w:t>
            </w:r>
          </w:p>
        </w:tc>
        <w:tc>
          <w:tcPr>
            <w:tcW w:w="3148" w:type="dxa"/>
            <w:vAlign w:val="center"/>
          </w:tcPr>
          <w:p>
            <w:pPr>
              <w:rPr>
                <w:rFonts w:ascii="微软雅黑" w:hAnsi="微软雅黑" w:eastAsia="微软雅黑"/>
              </w:rPr>
            </w:pPr>
            <w:r>
              <w:rPr>
                <w:rFonts w:hint="eastAsia" w:ascii="微软雅黑" w:hAnsi="微软雅黑" w:eastAsia="微软雅黑"/>
              </w:rPr>
              <w:t>顾客与市场需求情况、竞争对手情况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1101" w:type="dxa"/>
            <w:vMerge w:val="continue"/>
            <w:vAlign w:val="center"/>
          </w:tcPr>
          <w:p>
            <w:pPr>
              <w:rPr>
                <w:rFonts w:ascii="微软雅黑" w:hAnsi="微软雅黑" w:eastAsia="微软雅黑"/>
              </w:rPr>
            </w:pPr>
          </w:p>
        </w:tc>
        <w:tc>
          <w:tcPr>
            <w:tcW w:w="2409" w:type="dxa"/>
            <w:vAlign w:val="center"/>
          </w:tcPr>
          <w:p>
            <w:pPr>
              <w:rPr>
                <w:rFonts w:ascii="微软雅黑" w:hAnsi="微软雅黑" w:eastAsia="微软雅黑"/>
              </w:rPr>
            </w:pPr>
            <w:r>
              <w:rPr>
                <w:rFonts w:hint="eastAsia" w:ascii="微软雅黑" w:hAnsi="微软雅黑" w:eastAsia="微软雅黑"/>
              </w:rPr>
              <w:t>经销商年终大会</w:t>
            </w:r>
          </w:p>
        </w:tc>
        <w:tc>
          <w:tcPr>
            <w:tcW w:w="2410" w:type="dxa"/>
            <w:vAlign w:val="center"/>
          </w:tcPr>
          <w:p>
            <w:pPr>
              <w:rPr>
                <w:rFonts w:ascii="微软雅黑" w:hAnsi="微软雅黑" w:eastAsia="微软雅黑"/>
              </w:rPr>
            </w:pPr>
            <w:r>
              <w:rPr>
                <w:rFonts w:hint="eastAsia" w:ascii="微软雅黑" w:hAnsi="微软雅黑" w:eastAsia="微软雅黑"/>
              </w:rPr>
              <w:t>与顾客交流</w:t>
            </w:r>
          </w:p>
        </w:tc>
        <w:tc>
          <w:tcPr>
            <w:tcW w:w="3148" w:type="dxa"/>
            <w:vAlign w:val="center"/>
          </w:tcPr>
          <w:p>
            <w:pPr>
              <w:rPr>
                <w:rFonts w:ascii="微软雅黑" w:hAnsi="微软雅黑" w:eastAsia="微软雅黑"/>
              </w:rPr>
            </w:pPr>
            <w:r>
              <w:rPr>
                <w:rFonts w:hint="eastAsia" w:ascii="微软雅黑" w:hAnsi="微软雅黑" w:eastAsia="微软雅黑"/>
              </w:rPr>
              <w:t>产品质量信息、顾客需求信息、竞争对手情况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01" w:type="dxa"/>
            <w:vMerge w:val="restart"/>
            <w:vAlign w:val="center"/>
          </w:tcPr>
          <w:p>
            <w:pPr>
              <w:rPr>
                <w:rFonts w:ascii="微软雅黑" w:hAnsi="微软雅黑" w:eastAsia="微软雅黑"/>
              </w:rPr>
            </w:pPr>
            <w:r>
              <w:rPr>
                <w:rFonts w:hint="eastAsia" w:ascii="微软雅黑" w:hAnsi="微软雅黑" w:eastAsia="微软雅黑"/>
              </w:rPr>
              <w:t>外部</w:t>
            </w:r>
          </w:p>
        </w:tc>
        <w:tc>
          <w:tcPr>
            <w:tcW w:w="2409" w:type="dxa"/>
            <w:vAlign w:val="center"/>
          </w:tcPr>
          <w:p>
            <w:pPr>
              <w:rPr>
                <w:rFonts w:ascii="微软雅黑" w:hAnsi="微软雅黑" w:eastAsia="微软雅黑"/>
              </w:rPr>
            </w:pPr>
            <w:r>
              <w:rPr>
                <w:rFonts w:hint="eastAsia" w:ascii="微软雅黑" w:hAnsi="微软雅黑" w:eastAsia="微软雅黑"/>
              </w:rPr>
              <w:t>从行业网站、报刊获取</w:t>
            </w:r>
          </w:p>
        </w:tc>
        <w:tc>
          <w:tcPr>
            <w:tcW w:w="2410" w:type="dxa"/>
            <w:vAlign w:val="center"/>
          </w:tcPr>
          <w:p>
            <w:pPr>
              <w:rPr>
                <w:rFonts w:ascii="微软雅黑" w:hAnsi="微软雅黑" w:eastAsia="微软雅黑"/>
              </w:rPr>
            </w:pPr>
            <w:r>
              <w:rPr>
                <w:rFonts w:hint="eastAsia" w:ascii="微软雅黑" w:hAnsi="微软雅黑" w:eastAsia="微软雅黑"/>
              </w:rPr>
              <w:t>登陆网站，查阅报刊</w:t>
            </w:r>
          </w:p>
        </w:tc>
        <w:tc>
          <w:tcPr>
            <w:tcW w:w="3148" w:type="dxa"/>
            <w:vAlign w:val="center"/>
          </w:tcPr>
          <w:p>
            <w:pPr>
              <w:rPr>
                <w:rFonts w:ascii="微软雅黑" w:hAnsi="微软雅黑" w:eastAsia="微软雅黑"/>
              </w:rPr>
            </w:pPr>
            <w:r>
              <w:rPr>
                <w:rFonts w:hint="eastAsia" w:ascii="微软雅黑" w:hAnsi="微软雅黑" w:eastAsia="微软雅黑"/>
              </w:rPr>
              <w:t>国家宏观政策，行业发展趋势、政策，竞争对手情况、顾客需求与期望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2" w:hRule="atLeast"/>
          <w:jc w:val="center"/>
        </w:trPr>
        <w:tc>
          <w:tcPr>
            <w:tcW w:w="1101" w:type="dxa"/>
            <w:vMerge w:val="continue"/>
            <w:vAlign w:val="center"/>
          </w:tcPr>
          <w:p>
            <w:pPr>
              <w:rPr>
                <w:rFonts w:ascii="微软雅黑" w:hAnsi="微软雅黑" w:eastAsia="微软雅黑"/>
              </w:rPr>
            </w:pPr>
          </w:p>
        </w:tc>
        <w:tc>
          <w:tcPr>
            <w:tcW w:w="2409" w:type="dxa"/>
            <w:vAlign w:val="center"/>
          </w:tcPr>
          <w:p>
            <w:pPr>
              <w:rPr>
                <w:rFonts w:ascii="微软雅黑" w:hAnsi="微软雅黑" w:eastAsia="微软雅黑"/>
              </w:rPr>
            </w:pPr>
            <w:r>
              <w:rPr>
                <w:rFonts w:hint="eastAsia" w:ascii="微软雅黑" w:hAnsi="微软雅黑" w:eastAsia="微软雅黑"/>
              </w:rPr>
              <w:t>委托第三方进行市场调研获取的市场信息。</w:t>
            </w:r>
          </w:p>
        </w:tc>
        <w:tc>
          <w:tcPr>
            <w:tcW w:w="2410" w:type="dxa"/>
            <w:vAlign w:val="center"/>
          </w:tcPr>
          <w:p>
            <w:pPr>
              <w:rPr>
                <w:rFonts w:ascii="微软雅黑" w:hAnsi="微软雅黑" w:eastAsia="微软雅黑"/>
              </w:rPr>
            </w:pPr>
            <w:r>
              <w:rPr>
                <w:rFonts w:hint="eastAsia" w:ascii="微软雅黑" w:hAnsi="微软雅黑" w:eastAsia="微软雅黑"/>
              </w:rPr>
              <w:t xml:space="preserve">委托收集 </w:t>
            </w:r>
          </w:p>
        </w:tc>
        <w:tc>
          <w:tcPr>
            <w:tcW w:w="3148" w:type="dxa"/>
            <w:vAlign w:val="center"/>
          </w:tcPr>
          <w:p>
            <w:pPr>
              <w:rPr>
                <w:rFonts w:ascii="微软雅黑" w:hAnsi="微软雅黑" w:eastAsia="微软雅黑"/>
              </w:rPr>
            </w:pPr>
            <w:r>
              <w:rPr>
                <w:rFonts w:hint="eastAsia" w:ascii="微软雅黑" w:hAnsi="微软雅黑" w:eastAsia="微软雅黑"/>
              </w:rPr>
              <w:t>国家宏观政策、市场容量及发展趋势、竞争对手情况、顾客需求与期望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101" w:type="dxa"/>
            <w:vMerge w:val="continue"/>
            <w:vAlign w:val="center"/>
          </w:tcPr>
          <w:p>
            <w:pPr>
              <w:rPr>
                <w:rFonts w:ascii="微软雅黑" w:hAnsi="微软雅黑" w:eastAsia="微软雅黑"/>
              </w:rPr>
            </w:pPr>
          </w:p>
        </w:tc>
        <w:tc>
          <w:tcPr>
            <w:tcW w:w="2409" w:type="dxa"/>
            <w:vAlign w:val="center"/>
          </w:tcPr>
          <w:p>
            <w:pPr>
              <w:rPr>
                <w:rFonts w:ascii="微软雅黑" w:hAnsi="微软雅黑" w:eastAsia="微软雅黑"/>
              </w:rPr>
            </w:pPr>
            <w:r>
              <w:rPr>
                <w:rFonts w:hint="eastAsia" w:ascii="微软雅黑" w:hAnsi="微软雅黑" w:eastAsia="微软雅黑"/>
              </w:rPr>
              <w:t>参加各类行业会议、行业培训</w:t>
            </w:r>
          </w:p>
        </w:tc>
        <w:tc>
          <w:tcPr>
            <w:tcW w:w="2410" w:type="dxa"/>
            <w:vAlign w:val="center"/>
          </w:tcPr>
          <w:p>
            <w:pPr>
              <w:rPr>
                <w:rFonts w:ascii="微软雅黑" w:hAnsi="微软雅黑" w:eastAsia="微软雅黑"/>
              </w:rPr>
            </w:pPr>
            <w:r>
              <w:rPr>
                <w:rFonts w:hint="eastAsia" w:ascii="微软雅黑" w:hAnsi="微软雅黑" w:eastAsia="微软雅黑"/>
              </w:rPr>
              <w:t>出席会议并收集资料</w:t>
            </w:r>
          </w:p>
        </w:tc>
        <w:tc>
          <w:tcPr>
            <w:tcW w:w="3148" w:type="dxa"/>
            <w:vAlign w:val="center"/>
          </w:tcPr>
          <w:p>
            <w:pPr>
              <w:rPr>
                <w:rFonts w:ascii="微软雅黑" w:hAnsi="微软雅黑" w:eastAsia="微软雅黑"/>
              </w:rPr>
            </w:pPr>
            <w:r>
              <w:rPr>
                <w:rFonts w:hint="eastAsia" w:ascii="微软雅黑" w:hAnsi="微软雅黑" w:eastAsia="微软雅黑"/>
              </w:rPr>
              <w:t>行业发展趋势、潜在市场，顾客与市场需求情况、竞争对手情况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101" w:type="dxa"/>
            <w:vMerge w:val="continue"/>
            <w:vAlign w:val="center"/>
          </w:tcPr>
          <w:p>
            <w:pPr>
              <w:rPr>
                <w:rFonts w:ascii="微软雅黑" w:hAnsi="微软雅黑" w:eastAsia="微软雅黑"/>
              </w:rPr>
            </w:pPr>
          </w:p>
        </w:tc>
        <w:tc>
          <w:tcPr>
            <w:tcW w:w="2409" w:type="dxa"/>
            <w:vAlign w:val="center"/>
          </w:tcPr>
          <w:p>
            <w:pPr>
              <w:rPr>
                <w:rFonts w:ascii="微软雅黑" w:hAnsi="微软雅黑" w:eastAsia="微软雅黑"/>
              </w:rPr>
            </w:pPr>
            <w:r>
              <w:rPr>
                <w:rFonts w:hint="eastAsia" w:ascii="微软雅黑" w:hAnsi="微软雅黑" w:eastAsia="微软雅黑"/>
              </w:rPr>
              <w:t>从国家有关部委、协会、科研院所获取</w:t>
            </w:r>
          </w:p>
        </w:tc>
        <w:tc>
          <w:tcPr>
            <w:tcW w:w="2410" w:type="dxa"/>
            <w:vAlign w:val="center"/>
          </w:tcPr>
          <w:p>
            <w:pPr>
              <w:rPr>
                <w:rFonts w:ascii="微软雅黑" w:hAnsi="微软雅黑" w:eastAsia="微软雅黑"/>
              </w:rPr>
            </w:pPr>
            <w:r>
              <w:rPr>
                <w:rFonts w:hint="eastAsia" w:ascii="微软雅黑" w:hAnsi="微软雅黑" w:eastAsia="微软雅黑"/>
              </w:rPr>
              <w:t>会谈、收集资料</w:t>
            </w:r>
          </w:p>
        </w:tc>
        <w:tc>
          <w:tcPr>
            <w:tcW w:w="3148" w:type="dxa"/>
            <w:vAlign w:val="center"/>
          </w:tcPr>
          <w:p>
            <w:pPr>
              <w:rPr>
                <w:rFonts w:ascii="微软雅黑" w:hAnsi="微软雅黑" w:eastAsia="微软雅黑"/>
              </w:rPr>
            </w:pPr>
            <w:r>
              <w:rPr>
                <w:rFonts w:hint="eastAsia" w:ascii="微软雅黑" w:hAnsi="微软雅黑" w:eastAsia="微软雅黑"/>
              </w:rPr>
              <w:t>行业发展趋势、顾客需求信息</w:t>
            </w:r>
          </w:p>
        </w:tc>
      </w:tr>
    </w:tbl>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asciiTheme="minorEastAsia" w:hAnsiTheme="minorEastAsia" w:eastAsiaTheme="minorEastAsia"/>
          <w:sz w:val="28"/>
          <w:szCs w:val="28"/>
        </w:rPr>
        <w:t>明确组织投诉管理过程</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销售部受到客户质量反馈信息，及时传递到品质部，由品质部负责处理客户反馈问题。</w:t>
      </w:r>
    </w:p>
    <w:p>
      <w:pPr>
        <w:pStyle w:val="104"/>
        <w:spacing w:before="156" w:after="156"/>
        <w:ind w:firstLine="560"/>
        <w:rPr>
          <w:rFonts w:asciiTheme="minorEastAsia" w:hAnsiTheme="minorEastAsia" w:eastAsiaTheme="minorEastAsia"/>
          <w:sz w:val="28"/>
          <w:szCs w:val="28"/>
        </w:rPr>
      </w:pPr>
    </w:p>
    <w:p>
      <w:pPr>
        <w:pStyle w:val="104"/>
        <w:spacing w:before="156" w:after="156"/>
        <w:ind w:firstLine="480"/>
        <w:jc w:val="center"/>
        <w:rPr>
          <w:rFonts w:ascii="微软雅黑" w:hAnsi="微软雅黑" w:eastAsia="微软雅黑"/>
          <w:color w:val="000000"/>
        </w:rPr>
      </w:pPr>
      <w:r>
        <w:rPr>
          <w:rFonts w:hint="eastAsia" w:ascii="微软雅黑" w:hAnsi="微软雅黑" w:eastAsia="微软雅黑"/>
          <w:color w:val="000000"/>
        </w:rPr>
        <w:t>图表4</w:t>
      </w:r>
      <w:r>
        <w:rPr>
          <w:rFonts w:hint="eastAsia" w:ascii="微软雅黑" w:hAnsi="微软雅黑" w:eastAsia="微软雅黑"/>
          <w:bCs/>
          <w:color w:val="000000"/>
        </w:rPr>
        <w:t xml:space="preserve">  </w:t>
      </w:r>
      <w:r>
        <w:rPr>
          <w:rFonts w:hint="eastAsia" w:ascii="微软雅黑" w:hAnsi="微软雅黑" w:eastAsia="微软雅黑"/>
          <w:color w:val="000000"/>
        </w:rPr>
        <w:t>顾客投诉处理流程图</w:t>
      </w:r>
    </w:p>
    <w:p>
      <w:pPr>
        <w:spacing w:line="360" w:lineRule="auto"/>
        <w:ind w:firstLine="240" w:firstLineChars="100"/>
        <w:rPr>
          <w:rFonts w:ascii="宋体" w:hAnsi="宋体" w:cs="宋体"/>
          <w:color w:val="FF0000"/>
          <w:kern w:val="0"/>
          <w:sz w:val="24"/>
        </w:rPr>
      </w:pPr>
      <w:r>
        <w:rPr>
          <w:rFonts w:ascii="宋体" w:hAnsi="宋体" w:cs="宋体"/>
          <w:color w:val="FF0000"/>
          <w:kern w:val="0"/>
          <w:sz w:val="24"/>
        </w:rPr>
        <w:drawing>
          <wp:inline distT="0" distB="0" distL="0" distR="0">
            <wp:extent cx="5486400" cy="3124200"/>
            <wp:effectExtent l="19050" t="0" r="0" b="0"/>
            <wp:docPr id="2" name="图片 135" descr="投诉处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5" descr="投诉处理流程"/>
                    <pic:cNvPicPr>
                      <a:picLocks noChangeAspect="1" noChangeArrowheads="1"/>
                    </pic:cNvPicPr>
                  </pic:nvPicPr>
                  <pic:blipFill>
                    <a:blip r:embed="rId9"/>
                    <a:srcRect/>
                    <a:stretch>
                      <a:fillRect/>
                    </a:stretch>
                  </pic:blipFill>
                  <pic:spPr>
                    <a:xfrm>
                      <a:off x="0" y="0"/>
                      <a:ext cx="5486400" cy="3124200"/>
                    </a:xfrm>
                    <a:prstGeom prst="rect">
                      <a:avLst/>
                    </a:prstGeom>
                    <a:solidFill>
                      <a:srgbClr val="FF6600"/>
                    </a:solidFill>
                    <a:ln w="9525">
                      <a:noFill/>
                      <a:miter lim="800000"/>
                      <a:headEnd/>
                      <a:tailEnd/>
                    </a:ln>
                  </pic:spPr>
                </pic:pic>
              </a:graphicData>
            </a:graphic>
          </wp:inline>
        </w:drawing>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销售部负责投诉的受理、传递，负责将处理结果与投诉客户沟通、解释，包括对客户投诉当时情绪的安抚。</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品质部负责</w:t>
      </w:r>
      <w:r>
        <w:rPr>
          <w:rFonts w:hint="eastAsia" w:asciiTheme="minorEastAsia" w:hAnsiTheme="minorEastAsia" w:eastAsiaTheme="minorEastAsia"/>
          <w:bCs/>
          <w:sz w:val="28"/>
          <w:szCs w:val="28"/>
        </w:rPr>
        <w:t>投诉处理的分类传递和呈报审批，</w:t>
      </w:r>
      <w:r>
        <w:rPr>
          <w:rFonts w:hint="eastAsia" w:asciiTheme="minorEastAsia" w:hAnsiTheme="minorEastAsia" w:eastAsiaTheme="minorEastAsia"/>
          <w:sz w:val="28"/>
          <w:szCs w:val="28"/>
        </w:rPr>
        <w:t>组织</w:t>
      </w:r>
      <w:r>
        <w:rPr>
          <w:rFonts w:hint="eastAsia" w:asciiTheme="minorEastAsia" w:hAnsiTheme="minorEastAsia" w:eastAsiaTheme="minorEastAsia"/>
          <w:bCs/>
          <w:sz w:val="28"/>
          <w:szCs w:val="28"/>
        </w:rPr>
        <w:t>投诉</w:t>
      </w:r>
      <w:r>
        <w:rPr>
          <w:rFonts w:hint="eastAsia" w:asciiTheme="minorEastAsia" w:hAnsiTheme="minorEastAsia" w:eastAsiaTheme="minorEastAsia"/>
          <w:sz w:val="28"/>
          <w:szCs w:val="28"/>
        </w:rPr>
        <w:t>原因的追查、纠正预防措施的监督落实。</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其他部分对投诉的原因进行分析与调查。</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3）使建立顾客关系的方法适合组织发展方向及业务需要</w:t>
      </w:r>
    </w:p>
    <w:p>
      <w:pPr>
        <w:pStyle w:val="104"/>
        <w:spacing w:before="156" w:after="156"/>
        <w:ind w:firstLine="560"/>
        <w:rPr>
          <w:rFonts w:asciiTheme="minorEastAsia" w:hAnsiTheme="minorEastAsia" w:eastAsiaTheme="minorEastAsia"/>
          <w:sz w:val="28"/>
          <w:szCs w:val="28"/>
        </w:rPr>
      </w:pPr>
      <w:r>
        <w:rPr>
          <w:rFonts w:hint="eastAsia" w:cs="宋体" w:asciiTheme="minorEastAsia" w:hAnsiTheme="minorEastAsia" w:eastAsiaTheme="minorEastAsia"/>
          <w:sz w:val="28"/>
          <w:szCs w:val="28"/>
        </w:rPr>
        <w:t>公司定期评价顾客关系管理办法，不断改进管理绩效。定期评价的主要做法如下：</w:t>
      </w:r>
    </w:p>
    <w:p>
      <w:pPr>
        <w:pStyle w:val="104"/>
        <w:spacing w:before="156" w:after="156"/>
        <w:ind w:firstLine="56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市场份额分析。在销售部门对影响顾客购买的因素进行识别和分析。</w:t>
      </w:r>
    </w:p>
    <w:p>
      <w:pPr>
        <w:pStyle w:val="104"/>
        <w:spacing w:before="156" w:after="156"/>
        <w:ind w:firstLine="56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重点顾客的流失，由销售部经理、业务员登门拜访，了解顾客意见，识别顾客流失原因，研究采取相应的顾客关系改进措施。</w:t>
      </w:r>
    </w:p>
    <w:p>
      <w:pPr>
        <w:pStyle w:val="104"/>
        <w:spacing w:before="156" w:after="156"/>
        <w:ind w:firstLine="56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通过内审，查找各部门在履行顾客关系管理职责上的不足，督促各部门严格执行相关制度，持续改进工作有效性。</w:t>
      </w:r>
    </w:p>
    <w:p>
      <w:pPr>
        <w:pStyle w:val="104"/>
        <w:spacing w:before="156" w:after="156"/>
        <w:ind w:firstLine="56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公司总经理每年组织管理评审，分析市场占有率、顾客满意度和忠诚度变化趋势，并与战略部署、竞争对手的数据进行比较分析，评估顾客关系管理是否与公司战略相适应。</w:t>
      </w:r>
    </w:p>
    <w:p>
      <w:pPr>
        <w:pStyle w:val="104"/>
        <w:spacing w:before="156" w:after="156"/>
        <w:ind w:firstLine="280" w:firstLineChars="100"/>
        <w:rPr>
          <w:rFonts w:ascii="宋体" w:hAnsi="宋体"/>
          <w:b/>
          <w:color w:val="000000" w:themeColor="text1"/>
          <w:sz w:val="28"/>
          <w:szCs w:val="28"/>
          <w:u w:val="single"/>
        </w:rPr>
      </w:pPr>
      <w:r>
        <w:rPr>
          <w:rFonts w:hint="eastAsia" w:asciiTheme="minorEastAsia" w:hAnsiTheme="minorEastAsia" w:eastAsiaTheme="minorEastAsia"/>
          <w:sz w:val="28"/>
          <w:szCs w:val="28"/>
        </w:rPr>
        <w:t>4）</w:t>
      </w:r>
      <w:r>
        <w:fldChar w:fldCharType="begin"/>
      </w:r>
      <w:r>
        <w:instrText xml:space="preserve"> HYPERLINK "http://s.1688.com/wiki/k-%BF%CD%BB%A7_n-y.html" \t "_blank" </w:instrText>
      </w:r>
      <w:r>
        <w:fldChar w:fldCharType="separate"/>
      </w:r>
      <w:r>
        <w:rPr>
          <w:rStyle w:val="25"/>
          <w:rFonts w:hint="eastAsia" w:asciiTheme="minorEastAsia" w:hAnsiTheme="minorEastAsia" w:eastAsiaTheme="minorEastAsia"/>
          <w:color w:val="0D0D0D"/>
          <w:sz w:val="28"/>
          <w:szCs w:val="28"/>
        </w:rPr>
        <w:t>顾客</w:t>
      </w:r>
      <w:r>
        <w:rPr>
          <w:rStyle w:val="25"/>
          <w:rFonts w:hint="eastAsia" w:asciiTheme="minorEastAsia" w:hAnsiTheme="minorEastAsia" w:eastAsiaTheme="minorEastAsia"/>
          <w:color w:val="0D0D0D"/>
          <w:sz w:val="28"/>
          <w:szCs w:val="28"/>
        </w:rPr>
        <w:fldChar w:fldCharType="end"/>
      </w:r>
      <w:r>
        <w:rPr>
          <w:rFonts w:asciiTheme="minorEastAsia" w:hAnsiTheme="minorEastAsia" w:eastAsiaTheme="minorEastAsia"/>
          <w:sz w:val="28"/>
          <w:szCs w:val="28"/>
        </w:rPr>
        <w:t>对企业提出抱怨或投诉是表明他们对企业仍有期待，希望企业能改进服务水平，</w:t>
      </w:r>
      <w:r>
        <w:rPr>
          <w:rFonts w:hint="eastAsia" w:asciiTheme="minorEastAsia" w:hAnsiTheme="minorEastAsia" w:eastAsiaTheme="minorEastAsia"/>
          <w:sz w:val="28"/>
          <w:szCs w:val="28"/>
        </w:rPr>
        <w:t>顾客</w:t>
      </w:r>
      <w:r>
        <w:rPr>
          <w:rFonts w:asciiTheme="minorEastAsia" w:hAnsiTheme="minorEastAsia" w:eastAsiaTheme="minorEastAsia"/>
          <w:sz w:val="28"/>
          <w:szCs w:val="28"/>
        </w:rPr>
        <w:t>的投诉与抱怨实际上是企业改进工作，提高客户满意度的机会。</w:t>
      </w:r>
      <w:r>
        <w:rPr>
          <w:rFonts w:hint="eastAsia" w:ascii="宋体" w:hAnsi="宋体"/>
          <w:b/>
          <w:color w:val="000000" w:themeColor="text1"/>
          <w:sz w:val="28"/>
          <w:szCs w:val="28"/>
          <w:u w:val="single"/>
        </w:rPr>
        <w:t>本公司质量承诺：1 做好售后服务工作，对于顾客提出的问题 24 小时内进行反馈。2 产品在交货三个月内，若产品因制造质量问题而发生的损坏，免费为消费者修理或退换。3 制造商应在产品上施加唯一性货号，可进行产品追溯。</w:t>
      </w:r>
    </w:p>
    <w:p>
      <w:pPr>
        <w:pStyle w:val="104"/>
        <w:spacing w:before="156" w:after="156"/>
        <w:ind w:firstLine="0" w:firstLineChars="0"/>
        <w:rPr>
          <w:rFonts w:ascii="宋体" w:hAnsi="宋体"/>
          <w:b/>
          <w:color w:val="000000" w:themeColor="text1"/>
          <w:sz w:val="28"/>
          <w:szCs w:val="28"/>
          <w:u w:val="single"/>
        </w:rPr>
      </w:pPr>
      <w:r>
        <w:rPr>
          <w:rFonts w:hint="eastAsia" w:cs="仿宋_GB2312" w:asciiTheme="minorEastAsia" w:hAnsiTheme="minorEastAsia" w:eastAsiaTheme="minorEastAsia"/>
          <w:b/>
          <w:bCs/>
          <w:color w:val="000000" w:themeColor="text1"/>
          <w:sz w:val="28"/>
          <w:szCs w:val="28"/>
        </w:rPr>
        <w:t>2.5.4企业社会责任</w:t>
      </w:r>
    </w:p>
    <w:p>
      <w:pPr>
        <w:pStyle w:val="104"/>
        <w:spacing w:before="156" w:after="156"/>
        <w:ind w:firstLine="560"/>
        <w:rPr>
          <w:rFonts w:ascii="宋体" w:hAnsi="宋体"/>
          <w:sz w:val="28"/>
          <w:szCs w:val="28"/>
        </w:rPr>
      </w:pPr>
      <w:r>
        <w:rPr>
          <w:rFonts w:hint="eastAsia" w:ascii="宋体" w:hAnsi="宋体"/>
          <w:sz w:val="28"/>
          <w:szCs w:val="28"/>
        </w:rPr>
        <w:t>公司在企业不断发展的同时积极履行公共责任、公民义务及恪守道德规范。在公共责任方面，公司把环保和能源消耗作为所有工作中的重点，积极创新，持续改进，取得了很多成果；在道德行为方面，公司积极开展企业自身公民作用，并重点兼顾顾客方、公司员工、政府和社会等利益相关方。</w:t>
      </w:r>
    </w:p>
    <w:p>
      <w:pPr>
        <w:pStyle w:val="104"/>
        <w:spacing w:before="156" w:after="156"/>
        <w:ind w:firstLine="0" w:firstLineChars="0"/>
        <w:rPr>
          <w:rFonts w:asciiTheme="minorEastAsia" w:hAnsiTheme="minorEastAsia" w:eastAsiaTheme="minorEastAsia"/>
          <w:w w:val="92"/>
          <w:sz w:val="28"/>
          <w:szCs w:val="28"/>
        </w:rPr>
      </w:pPr>
      <w:r>
        <w:rPr>
          <w:rFonts w:hint="eastAsia" w:cs="仿宋_GB2312" w:asciiTheme="minorEastAsia" w:hAnsiTheme="minorEastAsia" w:eastAsiaTheme="minorEastAsia"/>
          <w:b/>
          <w:bCs/>
          <w:color w:val="000000" w:themeColor="text1"/>
          <w:sz w:val="28"/>
          <w:szCs w:val="28"/>
        </w:rPr>
        <w:t>2.5.4</w:t>
      </w:r>
      <w:r>
        <w:rPr>
          <w:rStyle w:val="118"/>
          <w:rFonts w:hint="eastAsia" w:asciiTheme="minorEastAsia" w:hAnsiTheme="minorEastAsia" w:eastAsiaTheme="minorEastAsia"/>
          <w:color w:val="000000"/>
          <w:szCs w:val="28"/>
        </w:rPr>
        <w:t>.1公共责任</w:t>
      </w:r>
    </w:p>
    <w:p>
      <w:pPr>
        <w:pStyle w:val="104"/>
        <w:spacing w:before="156" w:after="156"/>
        <w:ind w:firstLine="560"/>
        <w:rPr>
          <w:rFonts w:asciiTheme="minorEastAsia" w:hAnsiTheme="minorEastAsia" w:eastAsiaTheme="minorEastAsia"/>
          <w:sz w:val="28"/>
          <w:szCs w:val="28"/>
        </w:rPr>
      </w:pPr>
      <w:r>
        <w:rPr>
          <w:rStyle w:val="118"/>
          <w:rFonts w:hint="eastAsia" w:asciiTheme="minorEastAsia" w:hAnsiTheme="minorEastAsia" w:eastAsiaTheme="minorEastAsia"/>
          <w:b w:val="0"/>
          <w:bCs w:val="0"/>
          <w:szCs w:val="28"/>
        </w:rPr>
        <w:t>1）</w:t>
      </w:r>
      <w:r>
        <w:rPr>
          <w:rFonts w:hint="eastAsia" w:asciiTheme="minorEastAsia" w:hAnsiTheme="minorEastAsia" w:eastAsiaTheme="minorEastAsia"/>
          <w:sz w:val="28"/>
          <w:szCs w:val="28"/>
        </w:rPr>
        <w:t>组织应对公共责任过程中所采取的措施</w:t>
      </w:r>
      <w:r>
        <w:rPr>
          <w:rFonts w:asciiTheme="minorEastAsia" w:hAnsiTheme="minorEastAsia" w:eastAsiaTheme="minorEastAsia"/>
          <w:sz w:val="28"/>
          <w:szCs w:val="28"/>
        </w:rPr>
        <w:t xml:space="preserve"> </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安全是企业自身发展的需要，环保是社会责任。公司始终把安全、环保列入三驾马车之一，没有安全就没有企业，没有环保也同样没有企业，所以这二者都是企业发展</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必须做好的前提。</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组织的主要公共责任及其监控措施见图表5。</w:t>
      </w:r>
    </w:p>
    <w:p>
      <w:pPr>
        <w:pStyle w:val="134"/>
        <w:spacing w:beforeLines="0" w:afterLines="0"/>
        <w:rPr>
          <w:rFonts w:ascii="微软雅黑" w:hAnsi="微软雅黑" w:eastAsia="微软雅黑"/>
          <w:b w:val="0"/>
          <w:szCs w:val="24"/>
        </w:rPr>
      </w:pPr>
      <w:r>
        <w:rPr>
          <w:rFonts w:hint="eastAsia" w:ascii="微软雅黑" w:hAnsi="微软雅黑" w:eastAsia="微软雅黑"/>
          <w:b w:val="0"/>
        </w:rPr>
        <w:t>图表5</w:t>
      </w:r>
      <w:r>
        <w:rPr>
          <w:rFonts w:hint="eastAsia" w:ascii="微软雅黑" w:hAnsi="微软雅黑" w:eastAsia="微软雅黑"/>
          <w:b w:val="0"/>
          <w:szCs w:val="24"/>
        </w:rPr>
        <w:t>公司的公共责任及控制措施</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709"/>
        <w:gridCol w:w="2268"/>
        <w:gridCol w:w="3260"/>
        <w:gridCol w:w="1116"/>
        <w:gridCol w:w="1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1384" w:type="dxa"/>
            <w:gridSpan w:val="2"/>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项目</w:t>
            </w:r>
          </w:p>
        </w:tc>
        <w:tc>
          <w:tcPr>
            <w:tcW w:w="2268"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目标</w:t>
            </w:r>
          </w:p>
        </w:tc>
        <w:tc>
          <w:tcPr>
            <w:tcW w:w="3260"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过程控制措施</w:t>
            </w:r>
          </w:p>
        </w:tc>
        <w:tc>
          <w:tcPr>
            <w:tcW w:w="1116"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测量方法</w:t>
            </w:r>
          </w:p>
        </w:tc>
        <w:tc>
          <w:tcPr>
            <w:tcW w:w="1294" w:type="dxa"/>
            <w:shd w:val="clear" w:color="auto" w:fill="C6D9F1"/>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责任部门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环境保护</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厂界噪声</w:t>
            </w:r>
          </w:p>
        </w:tc>
        <w:tc>
          <w:tcPr>
            <w:tcW w:w="2268" w:type="dxa"/>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厂界噪声执行GB12346-2008</w:t>
            </w:r>
          </w:p>
          <w:p>
            <w:pPr>
              <w:spacing w:line="340" w:lineRule="exact"/>
              <w:jc w:val="left"/>
              <w:rPr>
                <w:rFonts w:ascii="微软雅黑" w:hAnsi="微软雅黑" w:eastAsia="微软雅黑"/>
                <w:color w:val="000000" w:themeColor="text1"/>
                <w:szCs w:val="21"/>
              </w:rPr>
            </w:pPr>
            <w:r>
              <w:rPr>
                <w:rFonts w:hint="eastAsia" w:ascii="微软雅黑" w:hAnsi="微软雅黑" w:eastAsia="微软雅黑"/>
                <w:color w:val="000000" w:themeColor="text1"/>
                <w:szCs w:val="21"/>
              </w:rPr>
              <w:t>《</w:t>
            </w:r>
            <w:r>
              <w:rPr>
                <w:rFonts w:hint="eastAsia" w:ascii="微软雅黑" w:hAnsi="微软雅黑" w:eastAsia="微软雅黑"/>
                <w:color w:val="000000" w:themeColor="text1"/>
              </w:rPr>
              <w:t>工业企业厂界噪声标准</w:t>
            </w:r>
            <w:r>
              <w:rPr>
                <w:rFonts w:hint="eastAsia" w:ascii="微软雅黑" w:hAnsi="微软雅黑" w:eastAsia="微软雅黑"/>
                <w:color w:val="000000" w:themeColor="text1"/>
                <w:szCs w:val="21"/>
              </w:rPr>
              <w:t>》3类标准</w:t>
            </w:r>
          </w:p>
        </w:tc>
        <w:tc>
          <w:tcPr>
            <w:tcW w:w="3260" w:type="dxa"/>
            <w:vAlign w:val="center"/>
          </w:tcPr>
          <w:p>
            <w:pPr>
              <w:adjustRightInd w:val="0"/>
              <w:snapToGrid w:val="0"/>
              <w:ind w:left="315" w:hanging="315" w:hangingChars="150"/>
              <w:rPr>
                <w:rFonts w:ascii="微软雅黑" w:hAnsi="微软雅黑" w:eastAsia="微软雅黑"/>
                <w:color w:val="000000" w:themeColor="text1"/>
                <w:szCs w:val="21"/>
              </w:rPr>
            </w:pPr>
            <w:r>
              <w:rPr>
                <w:rFonts w:hint="eastAsia" w:ascii="微软雅黑" w:hAnsi="微软雅黑" w:eastAsia="微软雅黑"/>
                <w:color w:val="000000" w:themeColor="text1"/>
                <w:szCs w:val="21"/>
              </w:rPr>
              <w:t>1.选用低噪声型号设备，加强机械设备的保养与维护，对产噪设备进行合理布局，将高噪声源风机等1、布置在远离厂界一侧，并做好基础减振工作，同时加强管理，降低人为噪声，建立设备定期维护、保养的管理制度，以防止设备故障形成的非生产噪声；</w:t>
            </w:r>
          </w:p>
          <w:p>
            <w:pPr>
              <w:adjustRightInd w:val="0"/>
              <w:snapToGrid w:val="0"/>
              <w:rPr>
                <w:rFonts w:ascii="微软雅黑" w:hAnsi="微软雅黑" w:eastAsia="微软雅黑"/>
                <w:color w:val="000000" w:themeColor="text1"/>
                <w:szCs w:val="21"/>
              </w:rPr>
            </w:pPr>
            <w:r>
              <w:rPr>
                <w:rFonts w:hint="eastAsia" w:ascii="微软雅黑" w:hAnsi="微软雅黑" w:eastAsia="微软雅黑"/>
                <w:color w:val="000000" w:themeColor="text1"/>
                <w:szCs w:val="21"/>
              </w:rPr>
              <w:t>2.定期监测。</w:t>
            </w:r>
          </w:p>
        </w:tc>
        <w:tc>
          <w:tcPr>
            <w:tcW w:w="1116"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内部监控委外检测</w:t>
            </w:r>
          </w:p>
        </w:tc>
        <w:tc>
          <w:tcPr>
            <w:tcW w:w="1294"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行政部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continue"/>
            <w:vAlign w:val="center"/>
          </w:tcPr>
          <w:p>
            <w:pPr>
              <w:spacing w:line="340" w:lineRule="exact"/>
              <w:jc w:val="center"/>
              <w:rPr>
                <w:rFonts w:ascii="微软雅黑" w:hAnsi="微软雅黑" w:eastAsia="微软雅黑"/>
                <w:color w:val="000000" w:themeColor="text1"/>
                <w:szCs w:val="21"/>
              </w:rPr>
            </w:pP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废水</w:t>
            </w:r>
          </w:p>
        </w:tc>
        <w:tc>
          <w:tcPr>
            <w:tcW w:w="2268"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生活污水执行GB8978-1996《污水综合排放标准》的3级标准</w:t>
            </w:r>
            <w:r>
              <w:rPr>
                <w:rFonts w:ascii="微软雅黑" w:hAnsi="微软雅黑" w:eastAsia="微软雅黑"/>
                <w:color w:val="000000" w:themeColor="text1"/>
              </w:rPr>
              <w:t xml:space="preserve"> </w:t>
            </w:r>
          </w:p>
        </w:tc>
        <w:tc>
          <w:tcPr>
            <w:tcW w:w="3260"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1.生活污水经化粪池、隔油池预处理排入市政污水管网，最终进入污水处理厂处理；</w:t>
            </w:r>
          </w:p>
          <w:p>
            <w:pPr>
              <w:rPr>
                <w:rFonts w:ascii="微软雅黑" w:hAnsi="微软雅黑" w:eastAsia="微软雅黑"/>
                <w:color w:val="000000" w:themeColor="text1"/>
              </w:rPr>
            </w:pPr>
            <w:r>
              <w:rPr>
                <w:rFonts w:hint="eastAsia" w:ascii="微软雅黑" w:hAnsi="微软雅黑" w:eastAsia="微软雅黑"/>
                <w:color w:val="000000" w:themeColor="text1"/>
                <w:szCs w:val="21"/>
              </w:rPr>
              <w:t>2.定期监测。</w:t>
            </w:r>
          </w:p>
        </w:tc>
        <w:tc>
          <w:tcPr>
            <w:tcW w:w="1116" w:type="dxa"/>
            <w:vMerge w:val="continue"/>
            <w:vAlign w:val="center"/>
          </w:tcPr>
          <w:p>
            <w:pPr>
              <w:spacing w:line="340" w:lineRule="exact"/>
              <w:jc w:val="center"/>
              <w:rPr>
                <w:rFonts w:ascii="微软雅黑" w:hAnsi="微软雅黑" w:eastAsia="微软雅黑"/>
                <w:color w:val="000000" w:themeColor="text1"/>
                <w:szCs w:val="21"/>
              </w:rPr>
            </w:pP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continue"/>
            <w:vAlign w:val="center"/>
          </w:tcPr>
          <w:p>
            <w:pPr>
              <w:spacing w:line="340" w:lineRule="exact"/>
              <w:jc w:val="center"/>
              <w:rPr>
                <w:rFonts w:ascii="微软雅黑" w:hAnsi="微软雅黑" w:eastAsia="微软雅黑"/>
                <w:color w:val="000000" w:themeColor="text1"/>
                <w:szCs w:val="21"/>
              </w:rPr>
            </w:pP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废气</w:t>
            </w:r>
          </w:p>
        </w:tc>
        <w:tc>
          <w:tcPr>
            <w:tcW w:w="2268"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废气排放</w:t>
            </w:r>
            <w:r>
              <w:rPr>
                <w:rFonts w:ascii="微软雅黑" w:hAnsi="微软雅黑" w:eastAsia="微软雅黑"/>
                <w:color w:val="000000" w:themeColor="text1"/>
              </w:rPr>
              <w:t>执行</w:t>
            </w:r>
            <w:r>
              <w:rPr>
                <w:rFonts w:hint="eastAsia" w:ascii="微软雅黑" w:hAnsi="微软雅黑" w:eastAsia="微软雅黑"/>
                <w:color w:val="000000" w:themeColor="text1"/>
              </w:rPr>
              <w:t>GB16297-1996《大气污染物综合排放标准》中新污染源二级标准</w:t>
            </w:r>
          </w:p>
        </w:tc>
        <w:tc>
          <w:tcPr>
            <w:tcW w:w="3260" w:type="dxa"/>
            <w:vAlign w:val="center"/>
          </w:tcPr>
          <w:p>
            <w:pPr>
              <w:rPr>
                <w:rFonts w:ascii="微软雅黑" w:hAnsi="微软雅黑" w:eastAsia="微软雅黑"/>
                <w:color w:val="000000" w:themeColor="text1"/>
              </w:rPr>
            </w:pPr>
            <w:r>
              <w:rPr>
                <w:rFonts w:hint="eastAsia" w:ascii="微软雅黑" w:hAnsi="微软雅黑" w:eastAsia="微软雅黑"/>
                <w:color w:val="000000" w:themeColor="text1"/>
              </w:rPr>
              <w:t>1.抛光</w:t>
            </w:r>
            <w:r>
              <w:rPr>
                <w:rFonts w:ascii="微软雅黑" w:hAnsi="微软雅黑" w:eastAsia="微软雅黑"/>
                <w:color w:val="000000" w:themeColor="text1"/>
              </w:rPr>
              <w:t>粉尘、收集后经</w:t>
            </w:r>
            <w:r>
              <w:rPr>
                <w:rFonts w:hint="eastAsia" w:ascii="微软雅黑" w:hAnsi="微软雅黑" w:eastAsia="微软雅黑"/>
                <w:color w:val="000000" w:themeColor="text1"/>
              </w:rPr>
              <w:t>喷淋</w:t>
            </w:r>
            <w:r>
              <w:rPr>
                <w:rFonts w:ascii="微软雅黑" w:hAnsi="微软雅黑" w:eastAsia="微软雅黑"/>
                <w:color w:val="000000" w:themeColor="text1"/>
              </w:rPr>
              <w:t>除尘处理后排气筒高空</w:t>
            </w:r>
            <w:r>
              <w:rPr>
                <w:rFonts w:hint="eastAsia" w:ascii="微软雅黑" w:hAnsi="微软雅黑" w:eastAsia="微软雅黑"/>
                <w:color w:val="000000" w:themeColor="text1"/>
              </w:rPr>
              <w:t>排放；</w:t>
            </w:r>
          </w:p>
          <w:p>
            <w:pPr>
              <w:rPr>
                <w:rFonts w:ascii="微软雅黑" w:hAnsi="微软雅黑" w:eastAsia="微软雅黑"/>
                <w:color w:val="000000" w:themeColor="text1"/>
              </w:rPr>
            </w:pPr>
            <w:r>
              <w:rPr>
                <w:rFonts w:hint="eastAsia" w:ascii="微软雅黑" w:hAnsi="微软雅黑" w:eastAsia="微软雅黑"/>
                <w:color w:val="000000" w:themeColor="text1"/>
              </w:rPr>
              <w:t>2.喷漆废气经水帘漆雾净化预处理后和调漆废气一起经喷淋塔+过滤棉+UV光解+活性炭处理装置处理后通过20米排气筒排放；</w:t>
            </w:r>
          </w:p>
          <w:p>
            <w:pPr>
              <w:rPr>
                <w:rFonts w:ascii="微软雅黑" w:hAnsi="微软雅黑" w:eastAsia="微软雅黑"/>
                <w:color w:val="000000" w:themeColor="text1"/>
              </w:rPr>
            </w:pPr>
            <w:r>
              <w:rPr>
                <w:rFonts w:hint="eastAsia" w:ascii="微软雅黑" w:hAnsi="微软雅黑" w:eastAsia="微软雅黑"/>
                <w:color w:val="000000" w:themeColor="text1"/>
                <w:szCs w:val="21"/>
              </w:rPr>
              <w:t>3.定期监测。</w:t>
            </w:r>
          </w:p>
        </w:tc>
        <w:tc>
          <w:tcPr>
            <w:tcW w:w="1116" w:type="dxa"/>
            <w:vAlign w:val="center"/>
          </w:tcPr>
          <w:p>
            <w:pPr>
              <w:spacing w:line="340" w:lineRule="exact"/>
              <w:jc w:val="center"/>
              <w:rPr>
                <w:rFonts w:ascii="微软雅黑" w:hAnsi="微软雅黑" w:eastAsia="微软雅黑"/>
                <w:color w:val="000000" w:themeColor="text1"/>
                <w:szCs w:val="21"/>
              </w:rPr>
            </w:pP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0" w:hRule="atLeast"/>
        </w:trPr>
        <w:tc>
          <w:tcPr>
            <w:tcW w:w="675"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固废</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废料控制</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资源化、减量化、</w:t>
            </w:r>
          </w:p>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无害化</w:t>
            </w:r>
          </w:p>
        </w:tc>
        <w:tc>
          <w:tcPr>
            <w:tcW w:w="3260" w:type="dxa"/>
            <w:vAlign w:val="center"/>
          </w:tcPr>
          <w:p>
            <w:pPr>
              <w:ind w:left="210" w:hanging="210" w:hangingChars="100"/>
              <w:rPr>
                <w:rFonts w:ascii="微软雅黑" w:hAnsi="微软雅黑" w:eastAsia="微软雅黑"/>
                <w:color w:val="000000" w:themeColor="text1"/>
              </w:rPr>
            </w:pPr>
            <w:r>
              <w:rPr>
                <w:rFonts w:hint="eastAsia" w:ascii="微软雅黑" w:hAnsi="微软雅黑" w:eastAsia="微软雅黑"/>
                <w:color w:val="000000" w:themeColor="text1"/>
              </w:rPr>
              <w:t>1.金属边角料、废包装袋收集后外售综合利用；</w:t>
            </w:r>
          </w:p>
          <w:p>
            <w:pPr>
              <w:ind w:left="210" w:hanging="210" w:hangingChars="100"/>
              <w:rPr>
                <w:rFonts w:ascii="微软雅黑" w:hAnsi="微软雅黑" w:eastAsia="微软雅黑"/>
                <w:color w:val="000000" w:themeColor="text1"/>
              </w:rPr>
            </w:pPr>
            <w:r>
              <w:rPr>
                <w:rFonts w:hint="eastAsia" w:ascii="微软雅黑" w:hAnsi="微软雅黑" w:eastAsia="微软雅黑"/>
                <w:color w:val="000000" w:themeColor="text1"/>
              </w:rPr>
              <w:t>2.漆渣、污泥、废包装桶、废漆雾废液、废机渣、</w:t>
            </w:r>
            <w:r>
              <w:rPr>
                <w:rFonts w:hint="eastAsia" w:ascii="微软雅黑" w:hAnsi="微软雅黑" w:eastAsia="微软雅黑"/>
              </w:rPr>
              <w:t>废超滤膜</w:t>
            </w:r>
            <w:r>
              <w:rPr>
                <w:rFonts w:hint="eastAsia" w:ascii="微软雅黑" w:hAnsi="微软雅黑" w:eastAsia="微软雅黑"/>
                <w:color w:val="000000" w:themeColor="text1"/>
              </w:rPr>
              <w:t>收集后暂存厂内危废仓库，定期委托有资质公司处理；</w:t>
            </w:r>
            <w:r>
              <w:rPr>
                <w:rFonts w:ascii="微软雅黑" w:hAnsi="微软雅黑" w:eastAsia="微软雅黑"/>
                <w:color w:val="000000" w:themeColor="text1"/>
              </w:rPr>
              <w:t xml:space="preserve"> </w:t>
            </w:r>
          </w:p>
          <w:p>
            <w:pPr>
              <w:ind w:left="210" w:hanging="210" w:hangingChars="100"/>
              <w:rPr>
                <w:rFonts w:ascii="微软雅黑" w:hAnsi="微软雅黑" w:eastAsia="微软雅黑"/>
                <w:color w:val="000000" w:themeColor="text1"/>
              </w:rPr>
            </w:pPr>
            <w:r>
              <w:rPr>
                <w:rFonts w:hint="eastAsia" w:ascii="微软雅黑" w:hAnsi="微软雅黑" w:eastAsia="微软雅黑"/>
                <w:color w:val="000000" w:themeColor="text1"/>
              </w:rPr>
              <w:t>3.生活垃圾由环卫部门统一清运。</w:t>
            </w:r>
          </w:p>
        </w:tc>
        <w:tc>
          <w:tcPr>
            <w:tcW w:w="1116"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每月监控、检查</w:t>
            </w: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安全生产</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火灾事故</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无</w:t>
            </w:r>
          </w:p>
        </w:tc>
        <w:tc>
          <w:tcPr>
            <w:tcW w:w="3260" w:type="dxa"/>
            <w:vMerge w:val="restart"/>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安全培训、监督，识别危险源并监控，设备改造</w:t>
            </w:r>
          </w:p>
        </w:tc>
        <w:tc>
          <w:tcPr>
            <w:tcW w:w="1116"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每天监督检查</w:t>
            </w:r>
          </w:p>
        </w:tc>
        <w:tc>
          <w:tcPr>
            <w:tcW w:w="1294" w:type="dxa"/>
            <w:vMerge w:val="restart"/>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行政部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Merge w:val="continue"/>
            <w:vAlign w:val="center"/>
          </w:tcPr>
          <w:p>
            <w:pPr>
              <w:spacing w:line="340" w:lineRule="exact"/>
              <w:jc w:val="center"/>
              <w:rPr>
                <w:rFonts w:ascii="微软雅黑" w:hAnsi="微软雅黑" w:eastAsia="微软雅黑"/>
                <w:color w:val="000000" w:themeColor="text1"/>
                <w:szCs w:val="21"/>
              </w:rPr>
            </w:pP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安全事故死亡率</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无</w:t>
            </w:r>
          </w:p>
        </w:tc>
        <w:tc>
          <w:tcPr>
            <w:tcW w:w="3260" w:type="dxa"/>
            <w:vMerge w:val="continue"/>
            <w:vAlign w:val="center"/>
          </w:tcPr>
          <w:p>
            <w:pPr>
              <w:spacing w:line="340" w:lineRule="exact"/>
              <w:rPr>
                <w:rFonts w:ascii="微软雅黑" w:hAnsi="微软雅黑" w:eastAsia="微软雅黑"/>
                <w:color w:val="000000" w:themeColor="text1"/>
                <w:szCs w:val="21"/>
              </w:rPr>
            </w:pPr>
          </w:p>
        </w:tc>
        <w:tc>
          <w:tcPr>
            <w:tcW w:w="1116" w:type="dxa"/>
            <w:vMerge w:val="continue"/>
            <w:vAlign w:val="center"/>
          </w:tcPr>
          <w:p>
            <w:pPr>
              <w:spacing w:line="340" w:lineRule="exact"/>
              <w:jc w:val="center"/>
              <w:rPr>
                <w:rFonts w:ascii="微软雅黑" w:hAnsi="微软雅黑" w:eastAsia="微软雅黑"/>
                <w:color w:val="000000" w:themeColor="text1"/>
                <w:szCs w:val="21"/>
              </w:rPr>
            </w:pPr>
          </w:p>
        </w:tc>
        <w:tc>
          <w:tcPr>
            <w:tcW w:w="1294" w:type="dxa"/>
            <w:vMerge w:val="continue"/>
            <w:vAlign w:val="center"/>
          </w:tcPr>
          <w:p>
            <w:pPr>
              <w:spacing w:line="340" w:lineRule="exact"/>
              <w:jc w:val="center"/>
              <w:rPr>
                <w:rFonts w:ascii="微软雅黑" w:hAnsi="微软雅黑" w:eastAsia="微软雅黑"/>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公共卫生</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环境清洁卫生</w:t>
            </w:r>
          </w:p>
        </w:tc>
        <w:tc>
          <w:tcPr>
            <w:tcW w:w="2268"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符合</w:t>
            </w:r>
          </w:p>
        </w:tc>
        <w:tc>
          <w:tcPr>
            <w:tcW w:w="3260" w:type="dxa"/>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实施“6S”管理，推行卫生检查、员工体检，落实环境管理制度</w:t>
            </w:r>
          </w:p>
        </w:tc>
        <w:tc>
          <w:tcPr>
            <w:tcW w:w="1116"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监督检查</w:t>
            </w:r>
          </w:p>
        </w:tc>
        <w:tc>
          <w:tcPr>
            <w:tcW w:w="1294"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行政部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0" w:hRule="atLeast"/>
        </w:trPr>
        <w:tc>
          <w:tcPr>
            <w:tcW w:w="675"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产品安全</w:t>
            </w:r>
          </w:p>
        </w:tc>
        <w:tc>
          <w:tcPr>
            <w:tcW w:w="709"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100%</w:t>
            </w:r>
          </w:p>
        </w:tc>
        <w:tc>
          <w:tcPr>
            <w:tcW w:w="2268" w:type="dxa"/>
            <w:vAlign w:val="center"/>
          </w:tcPr>
          <w:p>
            <w:pPr>
              <w:spacing w:line="340" w:lineRule="exact"/>
              <w:rPr>
                <w:rFonts w:ascii="微软雅黑" w:hAnsi="微软雅黑" w:eastAsia="微软雅黑"/>
                <w:color w:val="000000" w:themeColor="text1"/>
                <w:szCs w:val="21"/>
              </w:rPr>
            </w:pPr>
            <w:r>
              <w:rPr>
                <w:rFonts w:hint="eastAsia" w:ascii="微软雅黑" w:hAnsi="微软雅黑" w:eastAsia="微软雅黑"/>
                <w:color w:val="000000" w:themeColor="text1"/>
                <w:szCs w:val="21"/>
              </w:rPr>
              <w:t>依据高于内控指标进行产品设计、生产，进行产品性能测试</w:t>
            </w:r>
          </w:p>
        </w:tc>
        <w:tc>
          <w:tcPr>
            <w:tcW w:w="3260" w:type="dxa"/>
            <w:vAlign w:val="center"/>
          </w:tcPr>
          <w:p>
            <w:pPr>
              <w:spacing w:line="340" w:lineRule="exact"/>
              <w:jc w:val="left"/>
              <w:rPr>
                <w:rFonts w:ascii="微软雅黑" w:hAnsi="微软雅黑" w:eastAsia="微软雅黑"/>
                <w:color w:val="000000" w:themeColor="text1"/>
                <w:szCs w:val="21"/>
              </w:rPr>
            </w:pPr>
            <w:r>
              <w:rPr>
                <w:rFonts w:hint="eastAsia" w:ascii="微软雅黑" w:hAnsi="微软雅黑" w:eastAsia="微软雅黑"/>
                <w:color w:val="000000" w:themeColor="text1"/>
                <w:szCs w:val="21"/>
              </w:rPr>
              <w:t>设计评审开发鉴定性能试验</w:t>
            </w:r>
          </w:p>
        </w:tc>
        <w:tc>
          <w:tcPr>
            <w:tcW w:w="1116"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每年测评</w:t>
            </w:r>
          </w:p>
        </w:tc>
        <w:tc>
          <w:tcPr>
            <w:tcW w:w="1294" w:type="dxa"/>
            <w:vAlign w:val="center"/>
          </w:tcPr>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技术部</w:t>
            </w:r>
          </w:p>
          <w:p>
            <w:pPr>
              <w:spacing w:line="340" w:lineRule="exact"/>
              <w:jc w:val="center"/>
              <w:rPr>
                <w:rFonts w:ascii="微软雅黑" w:hAnsi="微软雅黑" w:eastAsia="微软雅黑"/>
                <w:color w:val="000000" w:themeColor="text1"/>
                <w:szCs w:val="21"/>
              </w:rPr>
            </w:pPr>
            <w:r>
              <w:rPr>
                <w:rFonts w:hint="eastAsia" w:ascii="微软雅黑" w:hAnsi="微软雅黑" w:eastAsia="微软雅黑"/>
                <w:color w:val="000000" w:themeColor="text1"/>
                <w:szCs w:val="21"/>
              </w:rPr>
              <w:t>生产部</w:t>
            </w:r>
          </w:p>
        </w:tc>
      </w:tr>
    </w:tbl>
    <w:p>
      <w:pPr>
        <w:pStyle w:val="104"/>
        <w:spacing w:before="156" w:after="156"/>
        <w:ind w:firstLine="560"/>
        <w:rPr>
          <w:rFonts w:asciiTheme="minorEastAsia" w:hAnsiTheme="minorEastAsia" w:eastAsiaTheme="minorEastAsia"/>
          <w:sz w:val="28"/>
          <w:szCs w:val="28"/>
        </w:rPr>
      </w:pPr>
      <w:r>
        <w:rPr>
          <w:rStyle w:val="118"/>
          <w:rFonts w:hint="eastAsia" w:asciiTheme="minorEastAsia" w:hAnsiTheme="minorEastAsia" w:eastAsiaTheme="minorEastAsia"/>
          <w:b w:val="0"/>
          <w:bCs w:val="0"/>
          <w:szCs w:val="28"/>
        </w:rPr>
        <w:t>2）</w:t>
      </w:r>
      <w:r>
        <w:rPr>
          <w:rFonts w:hint="eastAsia" w:asciiTheme="minorEastAsia" w:hAnsiTheme="minorEastAsia" w:eastAsiaTheme="minorEastAsia"/>
          <w:sz w:val="28"/>
          <w:szCs w:val="28"/>
        </w:rPr>
        <w:t>如何预见和应对公众隐忧</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行政部负责公司环境和安全工作。为了及时有效地预见和应对公众隐忧，公司建立了系统的预防和应对系统，具体见图表6。</w:t>
      </w:r>
    </w:p>
    <w:p>
      <w:pPr>
        <w:pStyle w:val="134"/>
        <w:spacing w:beforeLines="0" w:after="62" w:line="300" w:lineRule="auto"/>
        <w:ind w:firstLine="470" w:firstLineChars="196"/>
        <w:rPr>
          <w:rFonts w:ascii="微软雅黑" w:hAnsi="微软雅黑" w:eastAsia="微软雅黑" w:cs="宋体"/>
          <w:b w:val="0"/>
          <w:color w:val="000000"/>
          <w:kern w:val="0"/>
          <w:szCs w:val="24"/>
        </w:rPr>
      </w:pPr>
      <w:r>
        <w:rPr>
          <w:rFonts w:hint="eastAsia" w:ascii="微软雅黑" w:hAnsi="微软雅黑" w:eastAsia="微软雅黑" w:cs="宋体"/>
          <w:b w:val="0"/>
          <w:color w:val="000000"/>
          <w:kern w:val="0"/>
          <w:szCs w:val="24"/>
        </w:rPr>
        <w:t>图</w:t>
      </w:r>
      <w:r>
        <w:rPr>
          <w:rFonts w:hint="eastAsia" w:ascii="微软雅黑" w:hAnsi="微软雅黑" w:eastAsia="微软雅黑"/>
          <w:b w:val="0"/>
          <w:szCs w:val="24"/>
        </w:rPr>
        <w:t>表</w:t>
      </w:r>
      <w:r>
        <w:rPr>
          <w:rFonts w:hint="eastAsia" w:ascii="微软雅黑" w:hAnsi="微软雅黑" w:eastAsia="微软雅黑" w:cs="Cambria"/>
          <w:b w:val="0"/>
          <w:szCs w:val="24"/>
        </w:rPr>
        <w:t>6</w:t>
      </w:r>
      <w:r>
        <w:rPr>
          <w:rFonts w:hint="eastAsia" w:ascii="微软雅黑" w:hAnsi="微软雅黑" w:eastAsia="微软雅黑"/>
          <w:b w:val="0"/>
          <w:szCs w:val="24"/>
        </w:rPr>
        <w:t>公司道德行为监测体系</w:t>
      </w:r>
    </w:p>
    <w:tbl>
      <w:tblPr>
        <w:tblStyle w:val="21"/>
        <w:tblW w:w="92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875"/>
        <w:gridCol w:w="1559"/>
        <w:gridCol w:w="2802"/>
        <w:gridCol w:w="40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01" w:hRule="atLeast"/>
          <w:jc w:val="center"/>
        </w:trPr>
        <w:tc>
          <w:tcPr>
            <w:tcW w:w="875" w:type="dxa"/>
            <w:shd w:val="clear" w:color="auto" w:fill="C6D9F1"/>
            <w:vAlign w:val="center"/>
          </w:tcPr>
          <w:p>
            <w:pPr>
              <w:pStyle w:val="103"/>
              <w:spacing w:line="360" w:lineRule="exact"/>
              <w:rPr>
                <w:rFonts w:ascii="微软雅黑" w:hAnsi="微软雅黑" w:eastAsia="微软雅黑"/>
              </w:rPr>
            </w:pPr>
            <w:r>
              <w:rPr>
                <w:rFonts w:hint="eastAsia" w:ascii="微软雅黑" w:hAnsi="微软雅黑" w:eastAsia="微软雅黑"/>
              </w:rPr>
              <w:t>项目</w:t>
            </w:r>
          </w:p>
        </w:tc>
        <w:tc>
          <w:tcPr>
            <w:tcW w:w="1559" w:type="dxa"/>
            <w:shd w:val="clear" w:color="auto" w:fill="C6D9F1"/>
            <w:vAlign w:val="center"/>
          </w:tcPr>
          <w:p>
            <w:pPr>
              <w:pStyle w:val="103"/>
              <w:spacing w:line="360" w:lineRule="exact"/>
              <w:rPr>
                <w:rFonts w:ascii="微软雅黑" w:hAnsi="微软雅黑" w:eastAsia="微软雅黑"/>
              </w:rPr>
            </w:pPr>
            <w:r>
              <w:rPr>
                <w:rFonts w:hint="eastAsia" w:ascii="微软雅黑" w:hAnsi="微软雅黑" w:eastAsia="微软雅黑"/>
              </w:rPr>
              <w:t>预见方法</w:t>
            </w:r>
          </w:p>
        </w:tc>
        <w:tc>
          <w:tcPr>
            <w:tcW w:w="2802" w:type="dxa"/>
            <w:shd w:val="clear" w:color="auto" w:fill="C6D9F1"/>
            <w:vAlign w:val="center"/>
          </w:tcPr>
          <w:p>
            <w:pPr>
              <w:pStyle w:val="103"/>
              <w:spacing w:line="360" w:lineRule="exact"/>
              <w:rPr>
                <w:rFonts w:ascii="微软雅黑" w:hAnsi="微软雅黑" w:eastAsia="微软雅黑"/>
              </w:rPr>
            </w:pPr>
            <w:r>
              <w:rPr>
                <w:rFonts w:hint="eastAsia" w:ascii="微软雅黑" w:hAnsi="微软雅黑" w:eastAsia="微软雅黑"/>
              </w:rPr>
              <w:t>公共隐忧</w:t>
            </w:r>
          </w:p>
        </w:tc>
        <w:tc>
          <w:tcPr>
            <w:tcW w:w="4002" w:type="dxa"/>
            <w:shd w:val="clear" w:color="auto" w:fill="C6D9F1"/>
            <w:vAlign w:val="center"/>
          </w:tcPr>
          <w:p>
            <w:pPr>
              <w:pStyle w:val="103"/>
              <w:spacing w:line="360" w:lineRule="exact"/>
              <w:rPr>
                <w:rFonts w:ascii="微软雅黑" w:hAnsi="微软雅黑" w:eastAsia="微软雅黑"/>
              </w:rPr>
            </w:pPr>
            <w:r>
              <w:rPr>
                <w:rFonts w:hint="eastAsia" w:ascii="微软雅黑" w:hAnsi="微软雅黑" w:eastAsia="微软雅黑"/>
              </w:rPr>
              <w:t>应对措施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1543" w:hRule="atLeast"/>
          <w:jc w:val="center"/>
        </w:trPr>
        <w:tc>
          <w:tcPr>
            <w:tcW w:w="875" w:type="dxa"/>
            <w:shd w:val="clear" w:color="auto" w:fill="FFFFFF"/>
            <w:vAlign w:val="center"/>
          </w:tcPr>
          <w:p>
            <w:pPr>
              <w:pStyle w:val="78"/>
              <w:spacing w:line="360" w:lineRule="exact"/>
              <w:jc w:val="both"/>
              <w:rPr>
                <w:rFonts w:ascii="微软雅黑" w:hAnsi="微软雅黑" w:eastAsia="微软雅黑"/>
                <w:sz w:val="21"/>
                <w:szCs w:val="21"/>
              </w:rPr>
            </w:pPr>
            <w:r>
              <w:rPr>
                <w:rFonts w:hint="eastAsia" w:ascii="微软雅黑" w:hAnsi="微软雅黑" w:eastAsia="微软雅黑"/>
                <w:sz w:val="21"/>
                <w:szCs w:val="21"/>
              </w:rPr>
              <w:t>对运营的隐忧</w:t>
            </w:r>
            <w:r>
              <w:rPr>
                <w:rFonts w:ascii="微软雅黑" w:hAnsi="微软雅黑" w:eastAsia="微软雅黑"/>
                <w:sz w:val="21"/>
                <w:szCs w:val="21"/>
              </w:rPr>
              <w:t xml:space="preserve"> </w:t>
            </w:r>
          </w:p>
        </w:tc>
        <w:tc>
          <w:tcPr>
            <w:tcW w:w="1559" w:type="dxa"/>
            <w:shd w:val="clear" w:color="auto" w:fill="FFFFFF"/>
            <w:vAlign w:val="center"/>
          </w:tcPr>
          <w:p>
            <w:pPr>
              <w:pStyle w:val="78"/>
              <w:spacing w:line="360" w:lineRule="exact"/>
              <w:jc w:val="both"/>
              <w:rPr>
                <w:rFonts w:ascii="微软雅黑" w:hAnsi="微软雅黑" w:eastAsia="微软雅黑"/>
                <w:sz w:val="21"/>
                <w:szCs w:val="21"/>
              </w:rPr>
            </w:pPr>
            <w:r>
              <w:rPr>
                <w:rFonts w:hint="eastAsia" w:ascii="微软雅黑" w:hAnsi="微软雅黑" w:eastAsia="微软雅黑"/>
                <w:sz w:val="21"/>
                <w:szCs w:val="21"/>
              </w:rPr>
              <w:t>与政府、社区的交流；识别环境因素、危险源</w:t>
            </w:r>
            <w:r>
              <w:rPr>
                <w:rFonts w:ascii="微软雅黑" w:hAnsi="微软雅黑" w:eastAsia="微软雅黑"/>
                <w:sz w:val="21"/>
                <w:szCs w:val="21"/>
              </w:rPr>
              <w:t xml:space="preserve"> </w:t>
            </w:r>
          </w:p>
        </w:tc>
        <w:tc>
          <w:tcPr>
            <w:tcW w:w="2802" w:type="dxa"/>
            <w:shd w:val="clear" w:color="auto" w:fill="FFFFFF"/>
            <w:vAlign w:val="center"/>
          </w:tcPr>
          <w:p>
            <w:pPr>
              <w:pStyle w:val="78"/>
              <w:spacing w:line="360" w:lineRule="exact"/>
              <w:jc w:val="both"/>
              <w:rPr>
                <w:rFonts w:ascii="微软雅黑" w:hAnsi="微软雅黑" w:eastAsia="微软雅黑"/>
                <w:sz w:val="21"/>
                <w:szCs w:val="21"/>
              </w:rPr>
            </w:pPr>
            <w:r>
              <w:rPr>
                <w:rFonts w:hint="eastAsia" w:ascii="微软雅黑" w:hAnsi="微软雅黑" w:eastAsia="微软雅黑"/>
                <w:sz w:val="21"/>
                <w:szCs w:val="21"/>
              </w:rPr>
              <w:t>废水、废气、噪声、固废造成的环境污染</w:t>
            </w:r>
            <w:r>
              <w:rPr>
                <w:rFonts w:ascii="微软雅黑" w:hAnsi="微软雅黑" w:eastAsia="微软雅黑"/>
                <w:sz w:val="21"/>
                <w:szCs w:val="21"/>
              </w:rPr>
              <w:t xml:space="preserve"> </w:t>
            </w:r>
          </w:p>
        </w:tc>
        <w:tc>
          <w:tcPr>
            <w:tcW w:w="4002" w:type="dxa"/>
            <w:shd w:val="clear" w:color="auto" w:fill="FFFFFF"/>
            <w:vAlign w:val="center"/>
          </w:tcPr>
          <w:p>
            <w:pPr>
              <w:pStyle w:val="78"/>
              <w:spacing w:line="360" w:lineRule="exact"/>
              <w:jc w:val="both"/>
              <w:rPr>
                <w:rFonts w:ascii="微软雅黑" w:hAnsi="微软雅黑" w:eastAsia="微软雅黑"/>
                <w:sz w:val="21"/>
                <w:szCs w:val="21"/>
              </w:rPr>
            </w:pPr>
            <w:r>
              <w:rPr>
                <w:rFonts w:hint="eastAsia" w:ascii="微软雅黑" w:hAnsi="微软雅黑" w:eastAsia="微软雅黑"/>
                <w:sz w:val="21"/>
                <w:szCs w:val="21"/>
              </w:rPr>
              <w:t>保持环境、职业健康安全管理体系的有效运作，废水、废气、噪声达标排放，固废分类堆放、统一处理，最大程度降低环境影响，确保公众身体健康；实施节能减排，进行有效合理的改造，确保相关设备设施符合要求</w:t>
            </w:r>
            <w:r>
              <w:rPr>
                <w:rFonts w:ascii="微软雅黑" w:hAnsi="微软雅黑" w:eastAsia="微软雅黑"/>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061" w:hRule="atLeast"/>
          <w:jc w:val="center"/>
        </w:trPr>
        <w:tc>
          <w:tcPr>
            <w:tcW w:w="875" w:type="dxa"/>
            <w:shd w:val="clear" w:color="auto" w:fill="FFFFFF"/>
            <w:vAlign w:val="center"/>
          </w:tcPr>
          <w:p>
            <w:pPr>
              <w:pStyle w:val="78"/>
              <w:spacing w:line="360" w:lineRule="exact"/>
              <w:jc w:val="center"/>
              <w:rPr>
                <w:rFonts w:ascii="微软雅黑" w:hAnsi="微软雅黑" w:eastAsia="微软雅黑"/>
                <w:sz w:val="21"/>
                <w:szCs w:val="21"/>
              </w:rPr>
            </w:pPr>
            <w:r>
              <w:rPr>
                <w:rFonts w:hint="eastAsia" w:ascii="微软雅黑" w:hAnsi="微软雅黑" w:eastAsia="微软雅黑"/>
                <w:sz w:val="21"/>
                <w:szCs w:val="21"/>
              </w:rPr>
              <w:t>对产品和服务的隐忧</w:t>
            </w:r>
          </w:p>
        </w:tc>
        <w:tc>
          <w:tcPr>
            <w:tcW w:w="1559" w:type="dxa"/>
            <w:shd w:val="clear" w:color="auto" w:fill="FFFFFF"/>
            <w:vAlign w:val="center"/>
          </w:tcPr>
          <w:p>
            <w:pPr>
              <w:pStyle w:val="78"/>
              <w:spacing w:line="360" w:lineRule="exact"/>
              <w:jc w:val="center"/>
              <w:rPr>
                <w:rFonts w:ascii="微软雅黑" w:hAnsi="微软雅黑" w:eastAsia="微软雅黑"/>
                <w:sz w:val="21"/>
                <w:szCs w:val="21"/>
              </w:rPr>
            </w:pPr>
            <w:r>
              <w:rPr>
                <w:rFonts w:hint="eastAsia" w:ascii="微软雅黑" w:hAnsi="微软雅黑" w:eastAsia="微软雅黑"/>
                <w:sz w:val="21"/>
                <w:szCs w:val="21"/>
              </w:rPr>
              <w:t>顾客调查和研究；国内法律法规收集；产品标准收集</w:t>
            </w:r>
          </w:p>
        </w:tc>
        <w:tc>
          <w:tcPr>
            <w:tcW w:w="2802" w:type="dxa"/>
            <w:shd w:val="clear" w:color="auto" w:fill="FFFFFF"/>
            <w:vAlign w:val="center"/>
          </w:tcPr>
          <w:p>
            <w:pPr>
              <w:pStyle w:val="78"/>
              <w:spacing w:line="360" w:lineRule="exact"/>
              <w:rPr>
                <w:rFonts w:ascii="微软雅黑" w:hAnsi="微软雅黑" w:eastAsia="微软雅黑"/>
                <w:sz w:val="21"/>
                <w:szCs w:val="21"/>
              </w:rPr>
            </w:pPr>
            <w:r>
              <w:rPr>
                <w:rFonts w:hint="eastAsia" w:ascii="微软雅黑" w:hAnsi="微软雅黑" w:eastAsia="微软雅黑"/>
                <w:sz w:val="21"/>
                <w:szCs w:val="21"/>
              </w:rPr>
              <w:t>产品生产安全、产品安全</w:t>
            </w:r>
          </w:p>
        </w:tc>
        <w:tc>
          <w:tcPr>
            <w:tcW w:w="4002" w:type="dxa"/>
            <w:shd w:val="clear" w:color="auto" w:fill="FFFFFF"/>
            <w:vAlign w:val="center"/>
          </w:tcPr>
          <w:p>
            <w:pPr>
              <w:pStyle w:val="78"/>
              <w:spacing w:line="360" w:lineRule="exact"/>
              <w:rPr>
                <w:rFonts w:ascii="微软雅黑" w:hAnsi="微软雅黑" w:eastAsia="微软雅黑"/>
                <w:sz w:val="21"/>
                <w:szCs w:val="21"/>
              </w:rPr>
            </w:pPr>
            <w:r>
              <w:rPr>
                <w:rFonts w:hint="eastAsia" w:ascii="微软雅黑" w:hAnsi="微软雅黑" w:eastAsia="微软雅黑"/>
                <w:sz w:val="21"/>
                <w:szCs w:val="21"/>
              </w:rPr>
              <w:t>设计源头控制：使用</w:t>
            </w:r>
            <w:r>
              <w:rPr>
                <w:rFonts w:ascii="微软雅黑" w:hAnsi="微软雅黑" w:eastAsia="微软雅黑"/>
                <w:sz w:val="21"/>
                <w:szCs w:val="21"/>
              </w:rPr>
              <w:t>QC</w:t>
            </w:r>
            <w:r>
              <w:rPr>
                <w:rFonts w:hint="eastAsia" w:ascii="微软雅黑" w:hAnsi="微软雅黑" w:eastAsia="微软雅黑"/>
                <w:sz w:val="21"/>
                <w:szCs w:val="21"/>
              </w:rPr>
              <w:t>等工具，提升产品安全性、可靠性和能效水平，降低噪声、质量控制：研究废弃产品回收的路径、方案，提高员工安全操作技能，做到按章操作，按规办事，落实安全环保责任，严格考核制度</w:t>
            </w:r>
          </w:p>
        </w:tc>
      </w:tr>
    </w:tbl>
    <w:p>
      <w:pPr>
        <w:pStyle w:val="104"/>
        <w:spacing w:before="156" w:after="156"/>
        <w:ind w:firstLine="560"/>
        <w:rPr>
          <w:rFonts w:asciiTheme="minorEastAsia" w:hAnsiTheme="minorEastAsia" w:eastAsiaTheme="minorEastAsia"/>
          <w:sz w:val="28"/>
          <w:szCs w:val="28"/>
        </w:rPr>
      </w:pP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公司在认真总结去年公共责任管理的基础上，明确了继续巩固发展，落实公共责任，不断提升安环的管理水平，为公司和员工创造安全的生产环境和工作环境。</w:t>
      </w:r>
    </w:p>
    <w:p>
      <w:pPr>
        <w:pStyle w:val="104"/>
        <w:spacing w:before="156" w:after="156"/>
        <w:ind w:firstLine="560"/>
        <w:rPr>
          <w:rFonts w:asciiTheme="minorEastAsia" w:hAnsiTheme="minorEastAsia" w:eastAsiaTheme="minorEastAsia"/>
          <w:sz w:val="28"/>
          <w:szCs w:val="28"/>
        </w:rPr>
      </w:pPr>
      <w:r>
        <w:rPr>
          <w:rStyle w:val="118"/>
          <w:rFonts w:hint="eastAsia" w:asciiTheme="minorEastAsia" w:hAnsiTheme="minorEastAsia" w:eastAsiaTheme="minorEastAsia"/>
          <w:b w:val="0"/>
          <w:bCs w:val="0"/>
          <w:szCs w:val="28"/>
        </w:rPr>
        <w:t>3）</w:t>
      </w:r>
      <w:r>
        <w:rPr>
          <w:rFonts w:hint="eastAsia" w:asciiTheme="minorEastAsia" w:hAnsiTheme="minorEastAsia" w:eastAsiaTheme="minorEastAsia"/>
          <w:sz w:val="28"/>
          <w:szCs w:val="28"/>
        </w:rPr>
        <w:t>采取的关键过程及绩效指标</w:t>
      </w:r>
      <w:r>
        <w:rPr>
          <w:rFonts w:asciiTheme="minorEastAsia" w:hAnsiTheme="minorEastAsia" w:eastAsiaTheme="minorEastAsia"/>
          <w:sz w:val="28"/>
          <w:szCs w:val="28"/>
        </w:rPr>
        <w:t xml:space="preserve"> </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为了满足法律法规要求和达到更高水平，公司在安全管理、环保管理和职业卫生</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管理等方面采取了一系列措施，各关键过程如下：</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⑴安全管理</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公司坚持“安全第一、预防为主、综合治理”的安全生产方针，不断完善管理机制，加强安全管理人才建设，公司的安全生产态势长期保持平稳，建厂以来，未发生重大安全生产事故和人员死亡事故。</w:t>
      </w:r>
    </w:p>
    <w:p>
      <w:pPr>
        <w:pStyle w:val="104"/>
        <w:spacing w:before="156" w:after="156"/>
        <w:ind w:firstLine="560"/>
        <w:rPr>
          <w:rFonts w:asciiTheme="minorEastAsia" w:hAnsiTheme="minorEastAsia" w:eastAsiaTheme="minorEastAsia"/>
          <w:sz w:val="28"/>
          <w:szCs w:val="28"/>
          <w:highlight w:val="yellow"/>
        </w:rPr>
      </w:pPr>
      <w:r>
        <w:rPr>
          <w:rFonts w:hint="eastAsia" w:asciiTheme="minorEastAsia" w:hAnsiTheme="minorEastAsia" w:eastAsiaTheme="minorEastAsia"/>
          <w:sz w:val="28"/>
          <w:szCs w:val="28"/>
        </w:rPr>
        <w:t>公司建立健全安全生产体系，</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制订安全操作规程，完善安全责任机制，落实安全防护措施，保障操作员工人身和企业财产的安全。公司严格执行安全生产制度，未发生重大安全事故。</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将“安全第一、预防为主、综合治理”理念贯穿于企业各项工作和员工的心中。</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公司注重于安全生产的制度建设和安全体系建设，不断完善了安全生产管理制度和安全体系；不断完善每个岗位的安全操作规程。</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加强安全培训，提高员工安全技能和安全意识。公司严抓安全培训工作，严格执行安全培训制度。分别对员工进行安全生产法律、法规和公司安全生产管理制度、危险化学品职业防护、事故案例分析等培训，并对培训效果进行测试。</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 xml:space="preserve"> 狠抓隐患排查治理，确保企业安全生产。公司始终贯彻隐患即事故的安全管理理念，将事故苗头消灭在萌芽状态。生产部负责进行全方位、全过程的现场安全生产监督检查，采取了全天候检查的方式。</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宣传安全生产知识，营造安全氛围。公司利用厨窗、网站等多种形式宣贯安全生产知识，强化职工安全意识、规范职工安全工作行为。</w:t>
      </w:r>
    </w:p>
    <w:p>
      <w:pPr>
        <w:pStyle w:val="104"/>
        <w:spacing w:before="156" w:after="156"/>
        <w:ind w:firstLine="560"/>
        <w:rPr>
          <w:rFonts w:asciiTheme="minorEastAsia" w:hAnsiTheme="minorEastAsia" w:eastAsiaTheme="minorEastAsia"/>
          <w:sz w:val="28"/>
          <w:szCs w:val="28"/>
        </w:rPr>
      </w:pPr>
    </w:p>
    <w:p>
      <w:pPr>
        <w:pStyle w:val="104"/>
        <w:spacing w:before="156" w:after="156"/>
        <w:ind w:firstLine="700" w:firstLineChars="25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⑵环保管理</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公司通过组织各种活动，提高员工的节能环保意识，培养节能环保健康的工作方式，促进员工合理利用资源、节约资源，为创建节约型社会作出贡献。</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①公司主要从以下几个方面开展环保管理工作：</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广泛宣传，营造氛围。通过宣传网站等开展宣传活动，提高员工节能减排意识，提高节能环保健康知识水平，在广大员工中树立节能环保的科学理念，倡导文明健康、节约环保的生活方式。</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制定措施，堵塞漏洞。公司结合生产实际，完善了节能减排管理制度和操作规程。行政部排查安全环保隐患，加强现场管理，保障设备状态良好。</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⑶职业卫生管理</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公司制定了相关制度，来确保职业卫生管理工作的展开。公司定期对员工进行体检，并建立了个人档案，出现职业健康问题，及时采取适当措施。</w:t>
      </w:r>
    </w:p>
    <w:p>
      <w:pPr>
        <w:pStyle w:val="104"/>
        <w:spacing w:before="156" w:after="156"/>
        <w:ind w:firstLine="0" w:firstLineChars="0"/>
        <w:rPr>
          <w:rFonts w:asciiTheme="minorEastAsia" w:hAnsiTheme="minorEastAsia" w:eastAsiaTheme="minorEastAsia"/>
          <w:b/>
          <w:w w:val="92"/>
          <w:sz w:val="28"/>
          <w:szCs w:val="28"/>
        </w:rPr>
      </w:pPr>
      <w:r>
        <w:rPr>
          <w:rFonts w:hint="eastAsia" w:cs="仿宋_GB2312" w:asciiTheme="minorEastAsia" w:hAnsiTheme="minorEastAsia" w:eastAsiaTheme="minorEastAsia"/>
          <w:b/>
          <w:bCs/>
          <w:color w:val="000000" w:themeColor="text1"/>
          <w:sz w:val="28"/>
          <w:szCs w:val="28"/>
        </w:rPr>
        <w:t>2.5.4</w:t>
      </w:r>
      <w:r>
        <w:rPr>
          <w:rStyle w:val="118"/>
          <w:rFonts w:hint="eastAsia" w:asciiTheme="minorEastAsia" w:hAnsiTheme="minorEastAsia" w:eastAsiaTheme="minorEastAsia"/>
          <w:b w:val="0"/>
          <w:color w:val="000000"/>
          <w:szCs w:val="28"/>
        </w:rPr>
        <w:t>.</w:t>
      </w:r>
      <w:r>
        <w:rPr>
          <w:rStyle w:val="118"/>
          <w:rFonts w:hint="eastAsia" w:asciiTheme="minorEastAsia" w:hAnsiTheme="minorEastAsia" w:eastAsiaTheme="minorEastAsia"/>
          <w:color w:val="000000"/>
          <w:szCs w:val="28"/>
        </w:rPr>
        <w:t>2</w:t>
      </w:r>
      <w:r>
        <w:rPr>
          <w:rFonts w:asciiTheme="minorEastAsia" w:hAnsiTheme="minorEastAsia" w:eastAsiaTheme="minorEastAsia"/>
          <w:w w:val="92"/>
          <w:sz w:val="28"/>
          <w:szCs w:val="28"/>
        </w:rPr>
        <w:t xml:space="preserve"> </w:t>
      </w:r>
      <w:r>
        <w:rPr>
          <w:rFonts w:hint="eastAsia" w:asciiTheme="minorEastAsia" w:hAnsiTheme="minorEastAsia" w:eastAsiaTheme="minorEastAsia"/>
          <w:b/>
          <w:sz w:val="28"/>
          <w:szCs w:val="28"/>
        </w:rPr>
        <w:t>道德行为</w:t>
      </w:r>
      <w:r>
        <w:rPr>
          <w:rFonts w:asciiTheme="minorEastAsia" w:hAnsiTheme="minorEastAsia" w:eastAsiaTheme="minorEastAsia"/>
          <w:b/>
          <w:w w:val="92"/>
          <w:sz w:val="28"/>
          <w:szCs w:val="28"/>
        </w:rPr>
        <w:t xml:space="preserve"> </w:t>
      </w:r>
    </w:p>
    <w:p>
      <w:pPr>
        <w:pStyle w:val="104"/>
        <w:spacing w:before="156" w:after="156"/>
        <w:ind w:firstLine="560"/>
        <w:rPr>
          <w:rFonts w:asciiTheme="minorEastAsia" w:hAnsiTheme="minorEastAsia" w:eastAsiaTheme="minorEastAsia"/>
          <w:sz w:val="28"/>
          <w:szCs w:val="28"/>
        </w:rPr>
      </w:pPr>
      <w:r>
        <w:rPr>
          <w:rStyle w:val="118"/>
          <w:rFonts w:hint="eastAsia" w:asciiTheme="minorEastAsia" w:hAnsiTheme="minorEastAsia" w:eastAsiaTheme="minorEastAsia"/>
          <w:b w:val="0"/>
          <w:bCs w:val="0"/>
          <w:szCs w:val="28"/>
        </w:rPr>
        <w:t>1）</w:t>
      </w:r>
      <w:r>
        <w:rPr>
          <w:rFonts w:hint="eastAsia" w:asciiTheme="minorEastAsia" w:hAnsiTheme="minorEastAsia" w:eastAsiaTheme="minorEastAsia"/>
          <w:sz w:val="28"/>
          <w:szCs w:val="28"/>
        </w:rPr>
        <w:t>组织遵守诚信准则，及建立组织的信用体系</w:t>
      </w:r>
      <w:r>
        <w:rPr>
          <w:rFonts w:asciiTheme="minorEastAsia" w:hAnsiTheme="minorEastAsia" w:eastAsiaTheme="minorEastAsia"/>
          <w:sz w:val="28"/>
          <w:szCs w:val="28"/>
        </w:rPr>
        <w:t xml:space="preserve"> </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公司作为一个有着深刻社会责任感、使命感的企业，始终贯彻遵纪守法、诚信经营的方针，坚持做一个道德高尚的企业。在公司的发展过程中，逐渐凝练出了企业的道德责任：</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不断改善工作环境和待遇，让职工工作体面有尊严；不断回报社会，树立企业良好的社会形象；创造优质产品，促进企业与政府、客户的和谐关系；重视环境保护，实现可持续发展。</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在诚信经营的道路上，为求得共赢发展，公司进行道德建设的主要内容包括：</w:t>
      </w:r>
    </w:p>
    <w:p>
      <w:pPr>
        <w:pStyle w:val="104"/>
        <w:spacing w:before="156" w:after="156"/>
        <w:ind w:firstLine="560"/>
        <w:rPr>
          <w:rFonts w:asciiTheme="minorEastAsia" w:hAnsiTheme="minorEastAsia" w:eastAsiaTheme="minorEastAsia"/>
          <w:sz w:val="28"/>
          <w:szCs w:val="28"/>
        </w:rPr>
      </w:pPr>
      <w:r>
        <w:rPr>
          <w:rFonts w:hint="eastAsia" w:cs="宋体" w:asciiTheme="minorEastAsia" w:hAnsiTheme="minorEastAsia" w:eastAsiaTheme="minorEastAsia"/>
          <w:sz w:val="28"/>
          <w:szCs w:val="28"/>
        </w:rPr>
        <w:t></w:t>
      </w:r>
      <w:r>
        <w:rPr>
          <w:rFonts w:hint="eastAsia" w:asciiTheme="minorEastAsia" w:hAnsiTheme="minorEastAsia" w:eastAsiaTheme="minorEastAsia"/>
          <w:sz w:val="28"/>
          <w:szCs w:val="28"/>
        </w:rPr>
        <w:t>公司在企业发展的基础上，丰惠员工利益，履行社会责任，对社会、对员工、对公司负责相统一，“以人为本”的经营管理企业。</w:t>
      </w:r>
    </w:p>
    <w:p>
      <w:pPr>
        <w:pStyle w:val="104"/>
        <w:spacing w:before="156" w:after="156"/>
        <w:ind w:firstLine="560"/>
        <w:rPr>
          <w:rFonts w:asciiTheme="minorEastAsia" w:hAnsiTheme="minorEastAsia" w:eastAsiaTheme="minorEastAsia"/>
          <w:sz w:val="28"/>
          <w:szCs w:val="28"/>
        </w:rPr>
      </w:pPr>
      <w:r>
        <w:rPr>
          <w:rFonts w:hint="eastAsia" w:cs="宋体" w:asciiTheme="minorEastAsia" w:hAnsiTheme="minorEastAsia" w:eastAsiaTheme="minorEastAsia"/>
          <w:sz w:val="28"/>
          <w:szCs w:val="28"/>
        </w:rPr>
        <w:t></w:t>
      </w:r>
      <w:r>
        <w:rPr>
          <w:rFonts w:hint="eastAsia" w:asciiTheme="minorEastAsia" w:hAnsiTheme="minorEastAsia" w:eastAsiaTheme="minorEastAsia"/>
          <w:sz w:val="28"/>
          <w:szCs w:val="28"/>
        </w:rPr>
        <w:t>公司坚持以为用户提供优良的产品品质和服务品质，是企业讲诚信的首要体现，是构筑诚信文化的基础和要件。公司建立健全质量管理体系，以为顾客、为人类安全负责的姿态服务社会，履行企业的公民责任。</w:t>
      </w:r>
    </w:p>
    <w:p>
      <w:pPr>
        <w:pStyle w:val="104"/>
        <w:spacing w:before="156" w:after="156"/>
        <w:ind w:firstLine="560"/>
        <w:rPr>
          <w:rFonts w:asciiTheme="minorEastAsia" w:hAnsiTheme="minorEastAsia" w:eastAsiaTheme="minorEastAsia"/>
          <w:sz w:val="28"/>
          <w:szCs w:val="28"/>
        </w:rPr>
      </w:pPr>
      <w:r>
        <w:rPr>
          <w:rFonts w:hint="eastAsia" w:cs="宋体" w:asciiTheme="minorEastAsia" w:hAnsiTheme="minorEastAsia" w:eastAsiaTheme="minorEastAsia"/>
          <w:sz w:val="28"/>
          <w:szCs w:val="28"/>
        </w:rPr>
        <w:t></w:t>
      </w:r>
      <w:r>
        <w:rPr>
          <w:rFonts w:hint="eastAsia" w:asciiTheme="minorEastAsia" w:hAnsiTheme="minorEastAsia" w:eastAsiaTheme="minorEastAsia"/>
          <w:sz w:val="28"/>
          <w:szCs w:val="28"/>
        </w:rPr>
        <w:t>公司厉行节约，杜绝浪费、降低消耗，努力实现资源的最大利用和效应。</w:t>
      </w:r>
    </w:p>
    <w:p>
      <w:pPr>
        <w:pStyle w:val="104"/>
        <w:spacing w:before="156" w:after="156"/>
        <w:ind w:firstLine="560"/>
        <w:rPr>
          <w:rFonts w:asciiTheme="minorEastAsia" w:hAnsiTheme="minorEastAsia" w:eastAsiaTheme="minorEastAsia"/>
          <w:sz w:val="28"/>
          <w:szCs w:val="28"/>
        </w:rPr>
      </w:pPr>
      <w:r>
        <w:rPr>
          <w:rFonts w:hint="eastAsia" w:cs="宋体" w:asciiTheme="minorEastAsia" w:hAnsiTheme="minorEastAsia" w:eastAsiaTheme="minorEastAsia"/>
          <w:sz w:val="28"/>
          <w:szCs w:val="28"/>
        </w:rPr>
        <w:t></w:t>
      </w:r>
      <w:r>
        <w:rPr>
          <w:rFonts w:hint="eastAsia" w:asciiTheme="minorEastAsia" w:hAnsiTheme="minorEastAsia" w:eastAsiaTheme="minorEastAsia"/>
          <w:sz w:val="28"/>
          <w:szCs w:val="28"/>
        </w:rPr>
        <w:t>公司注重保护环境，预防污染，努力实现生产与环境和谐发展。</w:t>
      </w:r>
    </w:p>
    <w:p>
      <w:pPr>
        <w:pStyle w:val="104"/>
        <w:spacing w:before="156" w:after="156"/>
        <w:ind w:firstLine="560"/>
        <w:rPr>
          <w:rFonts w:asciiTheme="minorEastAsia" w:hAnsiTheme="minorEastAsia" w:eastAsiaTheme="minorEastAsia"/>
          <w:sz w:val="28"/>
          <w:szCs w:val="28"/>
        </w:rPr>
      </w:pPr>
      <w:r>
        <w:rPr>
          <w:rStyle w:val="118"/>
          <w:rFonts w:hint="eastAsia" w:asciiTheme="minorEastAsia" w:hAnsiTheme="minorEastAsia" w:eastAsiaTheme="minorEastAsia"/>
          <w:b w:val="0"/>
          <w:bCs w:val="0"/>
          <w:szCs w:val="28"/>
        </w:rPr>
        <w:t>2）</w:t>
      </w:r>
      <w:r>
        <w:rPr>
          <w:rFonts w:hint="eastAsia" w:asciiTheme="minorEastAsia" w:hAnsiTheme="minorEastAsia" w:eastAsiaTheme="minorEastAsia"/>
          <w:sz w:val="28"/>
          <w:szCs w:val="28"/>
        </w:rPr>
        <w:t>如何确保组织行为符合道德规范</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⑴严格遵守诚信准则，构建组织信用体系</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①依法纳税、诚信至上</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在公司发展壮大的过程中，公司的高层领导深刻地认识到税收乃国之血脉，经济为税收源泉。公司深入开展依法诚信纳税的宣传，企业依法诚信纳税的意识不断增强。</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②学法普法、健全机制</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高层领导十分重视法律法规的学习和员工法制宣传教育，带头学习相关法律法规，并把法制建设纳入企业监管内容，企业内部工作制度不断完善，企业法律监督机制不断建立健全，确保合同权益不受损害，树立了守法、诚信的良好形象。</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③稽审结合、有效预防</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为了更好地维护诚信经营环境，公司通过运营审计、经营稽查，内外结合的审计监督，对经营过程进行严格监控，逐步建立惩防体系，将一切非诚信因素扼杀在摇篮之中。</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④影响相关方</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建立严格的供应商准入评估制度，尤其是原材料的供应商，对其资质、诚信记录等都要进行严格审查。通过供应商审计，将公司诚信经营的理念传导给供应商，与其共同创建并维护诚信经营环境，提供更加优质稳定的产品和服务，对出现诚信问题的供应商给予淘汰的严格处罚。</w:t>
      </w:r>
    </w:p>
    <w:p>
      <w:pPr>
        <w:pStyle w:val="104"/>
        <w:spacing w:before="156" w:after="156"/>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⑵</w:t>
      </w:r>
      <w:r>
        <w:rPr>
          <w:rFonts w:asciiTheme="minorEastAsia" w:hAnsiTheme="minorEastAsia" w:eastAsiaTheme="minorEastAsia"/>
          <w:sz w:val="28"/>
          <w:szCs w:val="28"/>
        </w:rPr>
        <w:t>道德规范相关绩效指标</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重合同、守信用、讲道德、守法纪，为消费者提供高品质产品和服务是衡量企业道德水准的基本尺度。对高层领导，每年进行一次民主测评，主要针对政治思想、领导艺术、业务等方面的评价;对中层领导，进行德、能、勤、绩、廉的360度考核，制定领导干部廉洁从业若干规定，以提高中层领导的道德管理水平。对公司员工，制定</w:t>
      </w:r>
      <w:r>
        <w:rPr>
          <w:rFonts w:hint="eastAsia" w:asciiTheme="minorEastAsia" w:hAnsiTheme="minorEastAsia" w:eastAsiaTheme="minorEastAsia"/>
          <w:sz w:val="28"/>
          <w:szCs w:val="28"/>
        </w:rPr>
        <w:t>制度</w:t>
      </w:r>
      <w:r>
        <w:rPr>
          <w:rFonts w:asciiTheme="minorEastAsia" w:hAnsiTheme="minorEastAsia" w:eastAsiaTheme="minorEastAsia"/>
          <w:sz w:val="28"/>
          <w:szCs w:val="28"/>
        </w:rPr>
        <w:t>约束性规范。公司确保道德行为的主要过程、测量方法见</w:t>
      </w:r>
      <w:r>
        <w:rPr>
          <w:rFonts w:hint="eastAsia" w:asciiTheme="minorEastAsia" w:hAnsiTheme="minorEastAsia" w:eastAsiaTheme="minorEastAsia"/>
          <w:sz w:val="28"/>
          <w:szCs w:val="28"/>
        </w:rPr>
        <w:t>图</w:t>
      </w:r>
      <w:r>
        <w:rPr>
          <w:rFonts w:asciiTheme="minorEastAsia" w:hAnsiTheme="minorEastAsia" w:eastAsiaTheme="minorEastAsia"/>
          <w:sz w:val="28"/>
          <w:szCs w:val="28"/>
        </w:rPr>
        <w:t>表</w:t>
      </w:r>
      <w:r>
        <w:rPr>
          <w:rFonts w:hint="eastAsia" w:asciiTheme="minorEastAsia" w:hAnsiTheme="minorEastAsia" w:eastAsiaTheme="minorEastAsia"/>
          <w:sz w:val="28"/>
          <w:szCs w:val="28"/>
        </w:rPr>
        <w:t>7</w:t>
      </w:r>
      <w:r>
        <w:rPr>
          <w:rFonts w:asciiTheme="minorEastAsia" w:hAnsiTheme="minorEastAsia" w:eastAsiaTheme="minorEastAsia"/>
          <w:sz w:val="28"/>
          <w:szCs w:val="28"/>
        </w:rPr>
        <w:t>。</w:t>
      </w:r>
    </w:p>
    <w:p>
      <w:pPr>
        <w:pStyle w:val="104"/>
        <w:spacing w:before="156" w:after="156"/>
        <w:ind w:firstLine="1920" w:firstLineChars="800"/>
        <w:rPr>
          <w:rFonts w:ascii="微软雅黑" w:hAnsi="微软雅黑" w:eastAsia="微软雅黑"/>
        </w:rPr>
      </w:pPr>
      <w:r>
        <w:rPr>
          <w:rFonts w:hint="eastAsia" w:ascii="微软雅黑" w:hAnsi="微软雅黑" w:eastAsia="微软雅黑"/>
        </w:rPr>
        <w:t>图表7 公司道德行为的主要过程测量方法和指标</w:t>
      </w:r>
    </w:p>
    <w:tbl>
      <w:tblPr>
        <w:tblStyle w:val="21"/>
        <w:tblW w:w="903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12"/>
        <w:gridCol w:w="1164"/>
        <w:gridCol w:w="1701"/>
        <w:gridCol w:w="2410"/>
        <w:gridCol w:w="25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blHeader/>
        </w:trPr>
        <w:tc>
          <w:tcPr>
            <w:tcW w:w="1212" w:type="dxa"/>
            <w:shd w:val="clear" w:color="auto" w:fill="C6D9F1"/>
            <w:vAlign w:val="center"/>
          </w:tcPr>
          <w:p>
            <w:pPr>
              <w:pStyle w:val="127"/>
              <w:ind w:firstLine="0" w:firstLineChars="0"/>
              <w:rPr>
                <w:rFonts w:ascii="微软雅黑" w:hAnsi="微软雅黑" w:eastAsia="微软雅黑"/>
                <w:bCs/>
                <w:sz w:val="21"/>
              </w:rPr>
            </w:pPr>
            <w:r>
              <w:rPr>
                <w:rFonts w:hint="eastAsia" w:ascii="微软雅黑" w:hAnsi="微软雅黑" w:eastAsia="微软雅黑"/>
                <w:bCs/>
                <w:sz w:val="21"/>
              </w:rPr>
              <w:t>监督对象</w:t>
            </w:r>
          </w:p>
        </w:tc>
        <w:tc>
          <w:tcPr>
            <w:tcW w:w="1164" w:type="dxa"/>
            <w:shd w:val="clear" w:color="auto" w:fill="C6D9F1"/>
            <w:vAlign w:val="center"/>
          </w:tcPr>
          <w:p>
            <w:pPr>
              <w:pStyle w:val="127"/>
              <w:ind w:firstLine="102" w:firstLineChars="49"/>
              <w:rPr>
                <w:rFonts w:ascii="微软雅黑" w:hAnsi="微软雅黑" w:eastAsia="微软雅黑"/>
                <w:bCs/>
                <w:sz w:val="21"/>
              </w:rPr>
            </w:pPr>
            <w:r>
              <w:rPr>
                <w:rFonts w:hint="eastAsia" w:ascii="微软雅黑" w:hAnsi="微软雅黑" w:eastAsia="微软雅黑"/>
                <w:bCs/>
                <w:sz w:val="21"/>
              </w:rPr>
              <w:t>监测过程</w:t>
            </w:r>
          </w:p>
        </w:tc>
        <w:tc>
          <w:tcPr>
            <w:tcW w:w="1701" w:type="dxa"/>
            <w:shd w:val="clear" w:color="auto" w:fill="C6D9F1"/>
            <w:vAlign w:val="center"/>
          </w:tcPr>
          <w:p>
            <w:pPr>
              <w:pStyle w:val="127"/>
              <w:ind w:firstLine="310" w:firstLineChars="148"/>
              <w:rPr>
                <w:rFonts w:ascii="微软雅黑" w:hAnsi="微软雅黑" w:eastAsia="微软雅黑"/>
                <w:bCs/>
                <w:sz w:val="21"/>
              </w:rPr>
            </w:pPr>
            <w:r>
              <w:rPr>
                <w:rFonts w:hint="eastAsia" w:ascii="微软雅黑" w:hAnsi="微软雅黑" w:eastAsia="微软雅黑"/>
                <w:bCs/>
                <w:sz w:val="21"/>
              </w:rPr>
              <w:t>监督部门</w:t>
            </w:r>
          </w:p>
        </w:tc>
        <w:tc>
          <w:tcPr>
            <w:tcW w:w="2410" w:type="dxa"/>
            <w:shd w:val="clear" w:color="auto" w:fill="C6D9F1"/>
            <w:vAlign w:val="center"/>
          </w:tcPr>
          <w:p>
            <w:pPr>
              <w:pStyle w:val="127"/>
              <w:ind w:firstLine="420"/>
              <w:rPr>
                <w:rFonts w:ascii="微软雅黑" w:hAnsi="微软雅黑" w:eastAsia="微软雅黑"/>
                <w:bCs/>
                <w:sz w:val="21"/>
              </w:rPr>
            </w:pPr>
            <w:r>
              <w:rPr>
                <w:rFonts w:hint="eastAsia" w:ascii="微软雅黑" w:hAnsi="微软雅黑" w:eastAsia="微软雅黑"/>
                <w:bCs/>
                <w:sz w:val="21"/>
              </w:rPr>
              <w:t>测量方法</w:t>
            </w:r>
          </w:p>
        </w:tc>
        <w:tc>
          <w:tcPr>
            <w:tcW w:w="2552" w:type="dxa"/>
            <w:shd w:val="clear" w:color="auto" w:fill="C6D9F1"/>
            <w:vAlign w:val="center"/>
          </w:tcPr>
          <w:p>
            <w:pPr>
              <w:pStyle w:val="127"/>
              <w:ind w:firstLine="625" w:firstLineChars="298"/>
              <w:rPr>
                <w:rFonts w:ascii="微软雅黑" w:hAnsi="微软雅黑" w:eastAsia="微软雅黑"/>
                <w:bCs/>
                <w:sz w:val="21"/>
              </w:rPr>
            </w:pPr>
            <w:r>
              <w:rPr>
                <w:rFonts w:hint="eastAsia" w:ascii="微软雅黑" w:hAnsi="微软雅黑" w:eastAsia="微软雅黑"/>
                <w:bCs/>
                <w:sz w:val="21"/>
              </w:rPr>
              <w:t>测量指标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restart"/>
            <w:shd w:val="clear" w:color="auto" w:fill="FFFFFF"/>
            <w:vAlign w:val="center"/>
          </w:tcPr>
          <w:p>
            <w:pPr>
              <w:pStyle w:val="127"/>
              <w:ind w:firstLine="105" w:firstLineChars="50"/>
              <w:rPr>
                <w:rFonts w:ascii="微软雅黑" w:hAnsi="微软雅黑" w:eastAsia="微软雅黑"/>
                <w:sz w:val="21"/>
              </w:rPr>
            </w:pPr>
            <w:r>
              <w:rPr>
                <w:rFonts w:hint="eastAsia" w:ascii="微软雅黑" w:hAnsi="微软雅黑" w:eastAsia="微软雅黑"/>
                <w:sz w:val="21"/>
              </w:rPr>
              <w:t>高层领导</w:t>
            </w:r>
          </w:p>
        </w:tc>
        <w:tc>
          <w:tcPr>
            <w:tcW w:w="1164"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治理结构</w:t>
            </w:r>
          </w:p>
        </w:tc>
        <w:tc>
          <w:tcPr>
            <w:tcW w:w="1701"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股东会、董事会、监事会</w:t>
            </w:r>
          </w:p>
        </w:tc>
        <w:tc>
          <w:tcPr>
            <w:tcW w:w="2410"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会议、检查考核、民主调查、投诉举报</w:t>
            </w:r>
          </w:p>
        </w:tc>
        <w:tc>
          <w:tcPr>
            <w:tcW w:w="2552"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违纪违规事件为0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continue"/>
            <w:shd w:val="clear" w:color="auto" w:fill="FFFFFF"/>
            <w:vAlign w:val="center"/>
          </w:tcPr>
          <w:p>
            <w:pPr>
              <w:pStyle w:val="127"/>
              <w:ind w:firstLine="420"/>
              <w:rPr>
                <w:rFonts w:ascii="微软雅黑" w:hAnsi="微软雅黑" w:eastAsia="微软雅黑"/>
                <w:sz w:val="21"/>
              </w:rPr>
            </w:pPr>
          </w:p>
        </w:tc>
        <w:tc>
          <w:tcPr>
            <w:tcW w:w="1164" w:type="dxa"/>
            <w:vMerge w:val="restart"/>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生产经营活动的规范性</w:t>
            </w:r>
          </w:p>
        </w:tc>
        <w:tc>
          <w:tcPr>
            <w:tcW w:w="1701" w:type="dxa"/>
            <w:shd w:val="clear" w:color="auto" w:fill="FFFFFF"/>
            <w:vAlign w:val="center"/>
          </w:tcPr>
          <w:p>
            <w:pPr>
              <w:pStyle w:val="127"/>
              <w:ind w:firstLine="298" w:firstLineChars="142"/>
              <w:rPr>
                <w:rFonts w:ascii="微软雅黑" w:hAnsi="微软雅黑" w:eastAsia="微软雅黑"/>
                <w:sz w:val="21"/>
              </w:rPr>
            </w:pPr>
            <w:r>
              <w:rPr>
                <w:rFonts w:hint="eastAsia" w:ascii="微软雅黑" w:hAnsi="微软雅黑" w:eastAsia="微软雅黑"/>
                <w:sz w:val="21"/>
              </w:rPr>
              <w:t>税务部门</w:t>
            </w:r>
          </w:p>
        </w:tc>
        <w:tc>
          <w:tcPr>
            <w:tcW w:w="2410" w:type="dxa"/>
            <w:shd w:val="clear" w:color="auto" w:fill="FFFFFF"/>
            <w:vAlign w:val="center"/>
          </w:tcPr>
          <w:p>
            <w:pPr>
              <w:pStyle w:val="127"/>
              <w:ind w:firstLine="210" w:firstLineChars="100"/>
              <w:rPr>
                <w:rFonts w:ascii="微软雅黑" w:hAnsi="微软雅黑" w:eastAsia="微软雅黑"/>
                <w:sz w:val="21"/>
              </w:rPr>
            </w:pPr>
            <w:r>
              <w:rPr>
                <w:rFonts w:hint="eastAsia" w:ascii="微软雅黑" w:hAnsi="微软雅黑" w:eastAsia="微软雅黑"/>
                <w:sz w:val="21"/>
              </w:rPr>
              <w:t>税务检查及评价</w:t>
            </w:r>
          </w:p>
        </w:tc>
        <w:tc>
          <w:tcPr>
            <w:tcW w:w="2552" w:type="dxa"/>
            <w:shd w:val="clear" w:color="auto" w:fill="FFFFFF"/>
            <w:vAlign w:val="center"/>
          </w:tcPr>
          <w:p>
            <w:pPr>
              <w:pStyle w:val="127"/>
              <w:ind w:firstLine="735" w:firstLineChars="350"/>
              <w:rPr>
                <w:rFonts w:ascii="微软雅黑" w:hAnsi="微软雅黑" w:eastAsia="微软雅黑"/>
                <w:sz w:val="21"/>
              </w:rPr>
            </w:pPr>
            <w:r>
              <w:rPr>
                <w:rFonts w:hint="eastAsia" w:ascii="微软雅黑" w:hAnsi="微软雅黑" w:eastAsia="微软雅黑"/>
                <w:sz w:val="21"/>
              </w:rPr>
              <w:t>依法纳税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continue"/>
            <w:shd w:val="clear" w:color="auto" w:fill="FFFFFF"/>
            <w:vAlign w:val="center"/>
          </w:tcPr>
          <w:p>
            <w:pPr>
              <w:pStyle w:val="127"/>
              <w:ind w:firstLine="420"/>
              <w:rPr>
                <w:rFonts w:ascii="微软雅黑" w:hAnsi="微软雅黑" w:eastAsia="微软雅黑"/>
                <w:sz w:val="21"/>
              </w:rPr>
            </w:pPr>
          </w:p>
        </w:tc>
        <w:tc>
          <w:tcPr>
            <w:tcW w:w="1164" w:type="dxa"/>
            <w:vMerge w:val="continue"/>
            <w:shd w:val="clear" w:color="auto" w:fill="FFFFFF"/>
            <w:vAlign w:val="center"/>
          </w:tcPr>
          <w:p>
            <w:pPr>
              <w:pStyle w:val="127"/>
              <w:ind w:firstLine="420"/>
              <w:rPr>
                <w:rFonts w:ascii="微软雅黑" w:hAnsi="微软雅黑" w:eastAsia="微软雅黑"/>
                <w:sz w:val="21"/>
              </w:rPr>
            </w:pPr>
          </w:p>
        </w:tc>
        <w:tc>
          <w:tcPr>
            <w:tcW w:w="1701"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银行</w:t>
            </w:r>
          </w:p>
        </w:tc>
        <w:tc>
          <w:tcPr>
            <w:tcW w:w="2410" w:type="dxa"/>
            <w:shd w:val="clear" w:color="auto" w:fill="FFFFFF"/>
            <w:vAlign w:val="center"/>
          </w:tcPr>
          <w:p>
            <w:pPr>
              <w:pStyle w:val="127"/>
              <w:ind w:firstLine="315" w:firstLineChars="150"/>
              <w:rPr>
                <w:rFonts w:ascii="微软雅黑" w:hAnsi="微软雅黑" w:eastAsia="微软雅黑"/>
                <w:sz w:val="21"/>
              </w:rPr>
            </w:pPr>
            <w:r>
              <w:rPr>
                <w:rFonts w:hint="eastAsia" w:ascii="微软雅黑" w:hAnsi="微软雅黑" w:eastAsia="微软雅黑"/>
                <w:sz w:val="21"/>
              </w:rPr>
              <w:t>银行信用评价</w:t>
            </w:r>
          </w:p>
        </w:tc>
        <w:tc>
          <w:tcPr>
            <w:tcW w:w="2552" w:type="dxa"/>
            <w:shd w:val="clear" w:color="auto" w:fill="FFFFFF"/>
            <w:vAlign w:val="center"/>
          </w:tcPr>
          <w:p>
            <w:pPr>
              <w:pStyle w:val="127"/>
              <w:ind w:firstLine="735" w:firstLineChars="350"/>
              <w:rPr>
                <w:rFonts w:ascii="微软雅黑" w:hAnsi="微软雅黑" w:eastAsia="微软雅黑"/>
                <w:sz w:val="21"/>
              </w:rPr>
            </w:pPr>
            <w:r>
              <w:rPr>
                <w:rFonts w:hint="eastAsia" w:ascii="微软雅黑" w:hAnsi="微软雅黑" w:eastAsia="微软雅黑"/>
                <w:sz w:val="21"/>
              </w:rPr>
              <w:t>按时还贷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continue"/>
            <w:shd w:val="clear" w:color="auto" w:fill="FFFFFF"/>
            <w:vAlign w:val="center"/>
          </w:tcPr>
          <w:p>
            <w:pPr>
              <w:pStyle w:val="127"/>
              <w:ind w:firstLine="420"/>
              <w:rPr>
                <w:rFonts w:ascii="微软雅黑" w:hAnsi="微软雅黑" w:eastAsia="微软雅黑"/>
                <w:sz w:val="21"/>
              </w:rPr>
            </w:pPr>
          </w:p>
        </w:tc>
        <w:tc>
          <w:tcPr>
            <w:tcW w:w="1164" w:type="dxa"/>
            <w:vMerge w:val="continue"/>
            <w:shd w:val="clear" w:color="auto" w:fill="FFFFFF"/>
            <w:vAlign w:val="center"/>
          </w:tcPr>
          <w:p>
            <w:pPr>
              <w:pStyle w:val="127"/>
              <w:ind w:firstLine="420"/>
              <w:rPr>
                <w:rFonts w:ascii="微软雅黑" w:hAnsi="微软雅黑" w:eastAsia="微软雅黑"/>
                <w:sz w:val="21"/>
              </w:rPr>
            </w:pPr>
          </w:p>
        </w:tc>
        <w:tc>
          <w:tcPr>
            <w:tcW w:w="1701"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有关主管部门</w:t>
            </w:r>
          </w:p>
        </w:tc>
        <w:tc>
          <w:tcPr>
            <w:tcW w:w="2410"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财务检查</w:t>
            </w:r>
          </w:p>
        </w:tc>
        <w:tc>
          <w:tcPr>
            <w:tcW w:w="2552"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财务报表100%客观真实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continue"/>
            <w:shd w:val="clear" w:color="auto" w:fill="FFFFFF"/>
            <w:vAlign w:val="center"/>
          </w:tcPr>
          <w:p>
            <w:pPr>
              <w:pStyle w:val="127"/>
              <w:ind w:firstLine="420"/>
              <w:rPr>
                <w:rFonts w:ascii="微软雅黑" w:hAnsi="微软雅黑" w:eastAsia="微软雅黑"/>
                <w:sz w:val="21"/>
              </w:rPr>
            </w:pPr>
          </w:p>
        </w:tc>
        <w:tc>
          <w:tcPr>
            <w:tcW w:w="1164" w:type="dxa"/>
            <w:vMerge w:val="continue"/>
            <w:shd w:val="clear" w:color="auto" w:fill="FFFFFF"/>
            <w:vAlign w:val="center"/>
          </w:tcPr>
          <w:p>
            <w:pPr>
              <w:pStyle w:val="127"/>
              <w:ind w:firstLine="420"/>
              <w:rPr>
                <w:rFonts w:ascii="微软雅黑" w:hAnsi="微软雅黑" w:eastAsia="微软雅黑"/>
                <w:sz w:val="21"/>
              </w:rPr>
            </w:pPr>
          </w:p>
        </w:tc>
        <w:tc>
          <w:tcPr>
            <w:tcW w:w="1701"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媒体、监察部门</w:t>
            </w:r>
          </w:p>
        </w:tc>
        <w:tc>
          <w:tcPr>
            <w:tcW w:w="2410"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媒体曝光、违纪处理</w:t>
            </w:r>
          </w:p>
        </w:tc>
        <w:tc>
          <w:tcPr>
            <w:tcW w:w="2552"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杜绝不文明行为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continue"/>
            <w:shd w:val="clear" w:color="auto" w:fill="FFFFFF"/>
            <w:vAlign w:val="center"/>
          </w:tcPr>
          <w:p>
            <w:pPr>
              <w:pStyle w:val="127"/>
              <w:ind w:firstLine="420"/>
              <w:rPr>
                <w:rFonts w:ascii="微软雅黑" w:hAnsi="微软雅黑" w:eastAsia="微软雅黑"/>
                <w:sz w:val="21"/>
              </w:rPr>
            </w:pPr>
          </w:p>
        </w:tc>
        <w:tc>
          <w:tcPr>
            <w:tcW w:w="1164" w:type="dxa"/>
            <w:vMerge w:val="continue"/>
            <w:shd w:val="clear" w:color="auto" w:fill="FFFFFF"/>
            <w:vAlign w:val="center"/>
          </w:tcPr>
          <w:p>
            <w:pPr>
              <w:pStyle w:val="127"/>
              <w:ind w:firstLine="420"/>
              <w:rPr>
                <w:rFonts w:ascii="微软雅黑" w:hAnsi="微软雅黑" w:eastAsia="微软雅黑"/>
                <w:sz w:val="21"/>
              </w:rPr>
            </w:pPr>
          </w:p>
        </w:tc>
        <w:tc>
          <w:tcPr>
            <w:tcW w:w="1701" w:type="dxa"/>
            <w:shd w:val="clear" w:color="auto" w:fill="FFFFFF"/>
            <w:vAlign w:val="center"/>
          </w:tcPr>
          <w:p>
            <w:pPr>
              <w:pStyle w:val="127"/>
              <w:ind w:firstLine="315" w:firstLineChars="150"/>
              <w:rPr>
                <w:rFonts w:ascii="微软雅黑" w:hAnsi="微软雅黑" w:eastAsia="微软雅黑"/>
                <w:sz w:val="21"/>
              </w:rPr>
            </w:pPr>
            <w:r>
              <w:rPr>
                <w:rFonts w:hint="eastAsia" w:ascii="微软雅黑" w:hAnsi="微软雅黑" w:eastAsia="微软雅黑"/>
                <w:sz w:val="21"/>
              </w:rPr>
              <w:t>合作伙伴</w:t>
            </w:r>
          </w:p>
        </w:tc>
        <w:tc>
          <w:tcPr>
            <w:tcW w:w="2410"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合同履行情况检查</w:t>
            </w:r>
          </w:p>
        </w:tc>
        <w:tc>
          <w:tcPr>
            <w:tcW w:w="2552"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合同兑现率100%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restart"/>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中层干部职能部门</w:t>
            </w:r>
          </w:p>
        </w:tc>
        <w:tc>
          <w:tcPr>
            <w:tcW w:w="1164" w:type="dxa"/>
            <w:vMerge w:val="restart"/>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管理行为的公正性</w:t>
            </w:r>
          </w:p>
        </w:tc>
        <w:tc>
          <w:tcPr>
            <w:tcW w:w="1701" w:type="dxa"/>
            <w:shd w:val="clear" w:color="auto" w:fill="FFFFFF"/>
            <w:vAlign w:val="center"/>
          </w:tcPr>
          <w:p>
            <w:pPr>
              <w:pStyle w:val="127"/>
              <w:ind w:firstLine="199" w:firstLineChars="95"/>
              <w:rPr>
                <w:rFonts w:ascii="微软雅黑" w:hAnsi="微软雅黑" w:eastAsia="微软雅黑"/>
                <w:sz w:val="21"/>
              </w:rPr>
            </w:pPr>
            <w:r>
              <w:rPr>
                <w:rFonts w:hint="eastAsia" w:ascii="微软雅黑" w:hAnsi="微软雅黑" w:eastAsia="微软雅黑"/>
                <w:sz w:val="21"/>
              </w:rPr>
              <w:t>高层、党委</w:t>
            </w:r>
          </w:p>
        </w:tc>
        <w:tc>
          <w:tcPr>
            <w:tcW w:w="2410"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检查考核，民主调查、投诉举报</w:t>
            </w:r>
          </w:p>
        </w:tc>
        <w:tc>
          <w:tcPr>
            <w:tcW w:w="2552"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违纪违规事件为0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vMerge w:val="continue"/>
            <w:shd w:val="clear" w:color="auto" w:fill="FFFFFF"/>
            <w:vAlign w:val="center"/>
          </w:tcPr>
          <w:p>
            <w:pPr>
              <w:pStyle w:val="127"/>
              <w:ind w:firstLine="420"/>
              <w:rPr>
                <w:rFonts w:ascii="微软雅黑" w:hAnsi="微软雅黑" w:eastAsia="微软雅黑"/>
                <w:sz w:val="21"/>
              </w:rPr>
            </w:pPr>
          </w:p>
        </w:tc>
        <w:tc>
          <w:tcPr>
            <w:tcW w:w="1164" w:type="dxa"/>
            <w:vMerge w:val="continue"/>
            <w:shd w:val="clear" w:color="auto" w:fill="FFFFFF"/>
            <w:vAlign w:val="center"/>
          </w:tcPr>
          <w:p>
            <w:pPr>
              <w:pStyle w:val="127"/>
              <w:ind w:firstLine="420"/>
              <w:rPr>
                <w:rFonts w:ascii="微软雅黑" w:hAnsi="微软雅黑" w:eastAsia="微软雅黑"/>
                <w:sz w:val="21"/>
              </w:rPr>
            </w:pPr>
          </w:p>
        </w:tc>
        <w:tc>
          <w:tcPr>
            <w:tcW w:w="1701" w:type="dxa"/>
            <w:shd w:val="clear" w:color="auto" w:fill="FFFFFF"/>
            <w:vAlign w:val="center"/>
          </w:tcPr>
          <w:p>
            <w:pPr>
              <w:pStyle w:val="127"/>
              <w:ind w:firstLine="210" w:firstLineChars="100"/>
              <w:rPr>
                <w:rFonts w:ascii="微软雅黑" w:hAnsi="微软雅黑" w:eastAsia="微软雅黑"/>
                <w:sz w:val="21"/>
              </w:rPr>
            </w:pPr>
            <w:r>
              <w:rPr>
                <w:rFonts w:hint="eastAsia" w:ascii="微软雅黑" w:hAnsi="微软雅黑" w:eastAsia="微软雅黑"/>
                <w:sz w:val="21"/>
              </w:rPr>
              <w:t>行政部</w:t>
            </w:r>
          </w:p>
        </w:tc>
        <w:tc>
          <w:tcPr>
            <w:tcW w:w="2410" w:type="dxa"/>
            <w:shd w:val="clear" w:color="auto" w:fill="FFFFFF"/>
            <w:vAlign w:val="center"/>
          </w:tcPr>
          <w:p>
            <w:pPr>
              <w:pStyle w:val="127"/>
              <w:ind w:firstLine="420"/>
              <w:rPr>
                <w:rFonts w:ascii="微软雅黑" w:hAnsi="微软雅黑" w:eastAsia="微软雅黑"/>
                <w:sz w:val="21"/>
              </w:rPr>
            </w:pPr>
            <w:r>
              <w:rPr>
                <w:rFonts w:hint="eastAsia" w:ascii="微软雅黑" w:hAnsi="微软雅黑" w:eastAsia="微软雅黑"/>
                <w:sz w:val="21"/>
              </w:rPr>
              <w:t>监督、通报</w:t>
            </w:r>
          </w:p>
        </w:tc>
        <w:tc>
          <w:tcPr>
            <w:tcW w:w="2552"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劳动权益履行率100%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212"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一般员工</w:t>
            </w:r>
          </w:p>
        </w:tc>
        <w:tc>
          <w:tcPr>
            <w:tcW w:w="1164"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日常行为</w:t>
            </w:r>
          </w:p>
        </w:tc>
        <w:tc>
          <w:tcPr>
            <w:tcW w:w="1701"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顾客和供应商</w:t>
            </w:r>
          </w:p>
          <w:p>
            <w:pPr>
              <w:pStyle w:val="127"/>
              <w:ind w:firstLine="0" w:firstLineChars="0"/>
              <w:rPr>
                <w:rFonts w:ascii="微软雅黑" w:hAnsi="微软雅黑" w:eastAsia="微软雅黑"/>
                <w:sz w:val="21"/>
              </w:rPr>
            </w:pPr>
            <w:r>
              <w:rPr>
                <w:rFonts w:hint="eastAsia" w:ascii="微软雅黑" w:hAnsi="微软雅黑" w:eastAsia="微软雅黑"/>
                <w:sz w:val="21"/>
              </w:rPr>
              <w:t>媒体、监察部门</w:t>
            </w:r>
          </w:p>
        </w:tc>
        <w:tc>
          <w:tcPr>
            <w:tcW w:w="2410"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1.合同兑现；</w:t>
            </w:r>
          </w:p>
          <w:p>
            <w:pPr>
              <w:pStyle w:val="127"/>
              <w:ind w:left="210" w:hanging="210" w:hangingChars="100"/>
              <w:rPr>
                <w:rFonts w:ascii="微软雅黑" w:hAnsi="微软雅黑" w:eastAsia="微软雅黑"/>
                <w:sz w:val="21"/>
              </w:rPr>
            </w:pPr>
            <w:r>
              <w:rPr>
                <w:rFonts w:hint="eastAsia" w:ascii="微软雅黑" w:hAnsi="微软雅黑" w:eastAsia="微软雅黑"/>
                <w:sz w:val="21"/>
              </w:rPr>
              <w:t>2.媒体曝光、违纪处理。</w:t>
            </w:r>
          </w:p>
        </w:tc>
        <w:tc>
          <w:tcPr>
            <w:tcW w:w="2552" w:type="dxa"/>
            <w:shd w:val="clear" w:color="auto" w:fill="FFFFFF"/>
            <w:vAlign w:val="center"/>
          </w:tcPr>
          <w:p>
            <w:pPr>
              <w:pStyle w:val="127"/>
              <w:ind w:firstLine="0" w:firstLineChars="0"/>
              <w:rPr>
                <w:rFonts w:ascii="微软雅黑" w:hAnsi="微软雅黑" w:eastAsia="微软雅黑"/>
                <w:sz w:val="21"/>
              </w:rPr>
            </w:pPr>
            <w:r>
              <w:rPr>
                <w:rFonts w:hint="eastAsia" w:ascii="微软雅黑" w:hAnsi="微软雅黑" w:eastAsia="微软雅黑"/>
                <w:sz w:val="21"/>
              </w:rPr>
              <w:t>1.合同兑现率100%；</w:t>
            </w:r>
          </w:p>
          <w:p>
            <w:pPr>
              <w:pStyle w:val="127"/>
              <w:ind w:firstLine="0" w:firstLineChars="0"/>
              <w:rPr>
                <w:rFonts w:ascii="微软雅黑" w:hAnsi="微软雅黑" w:eastAsia="微软雅黑"/>
                <w:sz w:val="21"/>
              </w:rPr>
            </w:pPr>
            <w:r>
              <w:rPr>
                <w:rFonts w:hint="eastAsia" w:ascii="微软雅黑" w:hAnsi="微软雅黑" w:eastAsia="微软雅黑"/>
                <w:sz w:val="21"/>
              </w:rPr>
              <w:t>2.违法违纪事件数0。</w:t>
            </w:r>
          </w:p>
        </w:tc>
      </w:tr>
    </w:tbl>
    <w:p>
      <w:pPr>
        <w:pStyle w:val="104"/>
        <w:spacing w:before="156" w:after="156"/>
        <w:ind w:firstLine="0" w:firstLineChars="0"/>
        <w:rPr>
          <w:rFonts w:asciiTheme="minorEastAsia" w:hAnsiTheme="minorEastAsia" w:eastAsiaTheme="minorEastAsia"/>
          <w:b/>
          <w:sz w:val="28"/>
          <w:szCs w:val="28"/>
        </w:rPr>
      </w:pPr>
      <w:r>
        <w:rPr>
          <w:rFonts w:hint="eastAsia" w:cs="仿宋_GB2312" w:asciiTheme="minorEastAsia" w:hAnsiTheme="minorEastAsia" w:eastAsiaTheme="minorEastAsia"/>
          <w:b/>
          <w:bCs/>
          <w:color w:val="000000" w:themeColor="text1"/>
          <w:sz w:val="28"/>
          <w:szCs w:val="28"/>
        </w:rPr>
        <w:t>2.5.4</w:t>
      </w:r>
      <w:r>
        <w:rPr>
          <w:rStyle w:val="118"/>
          <w:rFonts w:hint="eastAsia" w:asciiTheme="minorEastAsia" w:hAnsiTheme="minorEastAsia" w:eastAsiaTheme="minorEastAsia"/>
          <w:color w:val="000000"/>
          <w:szCs w:val="28"/>
        </w:rPr>
        <w:t>.3</w:t>
      </w:r>
      <w:r>
        <w:rPr>
          <w:rFonts w:asciiTheme="minorEastAsia" w:hAnsiTheme="minorEastAsia" w:eastAsiaTheme="minorEastAsia"/>
          <w:b/>
          <w:sz w:val="28"/>
          <w:szCs w:val="28"/>
        </w:rPr>
        <w:t>公益支持</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 xml:space="preserve">1）重点支持教育事业，大力发展慈善活动 </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公司在企业不断发展的同时积极回报社会</w:t>
      </w:r>
      <w:r>
        <w:rPr>
          <w:rFonts w:hint="eastAsia" w:asciiTheme="minorEastAsia" w:hAnsiTheme="minorEastAsia" w:eastAsiaTheme="minorEastAsia"/>
          <w:sz w:val="28"/>
          <w:szCs w:val="28"/>
        </w:rPr>
        <w:t>。</w:t>
      </w:r>
      <w:r>
        <w:rPr>
          <w:rFonts w:asciiTheme="minorEastAsia" w:hAnsiTheme="minorEastAsia" w:eastAsiaTheme="minorEastAsia"/>
          <w:sz w:val="28"/>
          <w:szCs w:val="28"/>
        </w:rPr>
        <w:t>积极关爱员工，并履行社会责任。公司领导十分重视公益支持，积极主动履行公共责任，回报社会，支持公益事业。</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 xml:space="preserve">2）高层领导示范，员工积极参与慈善事业 </w:t>
      </w:r>
    </w:p>
    <w:p>
      <w:pPr>
        <w:pStyle w:val="104"/>
        <w:spacing w:before="156" w:after="156"/>
        <w:ind w:firstLine="560"/>
        <w:rPr>
          <w:rFonts w:asciiTheme="minorEastAsia" w:hAnsiTheme="minorEastAsia" w:eastAsiaTheme="minorEastAsia"/>
          <w:sz w:val="28"/>
          <w:szCs w:val="28"/>
        </w:rPr>
      </w:pPr>
      <w:r>
        <w:rPr>
          <w:rFonts w:asciiTheme="minorEastAsia" w:hAnsiTheme="minorEastAsia" w:eastAsiaTheme="minorEastAsia"/>
          <w:sz w:val="28"/>
          <w:szCs w:val="28"/>
        </w:rPr>
        <w:t>领导及员工积极为社会公益事业做出很大的贡献，高层领导起了很好带头示范作用。“内聚人气、外树形象”，公司高层非常重视企业承担的社会公益责任，实现企业与地区、社会的协调、和谐发展。</w:t>
      </w:r>
    </w:p>
    <w:p>
      <w:pPr>
        <w:widowControl/>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2.5.5</w:t>
      </w:r>
      <w:r>
        <w:rPr>
          <w:rFonts w:asciiTheme="minorEastAsia" w:hAnsiTheme="minorEastAsia" w:eastAsiaTheme="minorEastAsia"/>
          <w:b/>
          <w:sz w:val="28"/>
          <w:szCs w:val="28"/>
        </w:rPr>
        <w:t>质量信用记录</w:t>
      </w:r>
    </w:p>
    <w:p>
      <w:pPr>
        <w:spacing w:line="440" w:lineRule="exact"/>
        <w:ind w:firstLine="280" w:firstLineChars="100"/>
        <w:rPr>
          <w:rFonts w:cs="宋体" w:asciiTheme="minorEastAsia" w:hAnsiTheme="minorEastAsia" w:eastAsiaTheme="minorEastAsia"/>
          <w:kern w:val="0"/>
          <w:sz w:val="28"/>
          <w:szCs w:val="28"/>
          <w:lang w:val="zh-CN"/>
        </w:rPr>
      </w:pPr>
      <w:r>
        <w:rPr>
          <w:rFonts w:cs="宋体" w:asciiTheme="minorEastAsia" w:hAnsiTheme="minorEastAsia" w:eastAsiaTheme="minorEastAsia"/>
          <w:kern w:val="0"/>
          <w:sz w:val="28"/>
          <w:szCs w:val="28"/>
          <w:lang w:val="zh-CN"/>
        </w:rPr>
        <w:t>在报告期内</w:t>
      </w:r>
      <w:r>
        <w:rPr>
          <w:rFonts w:hint="eastAsia" w:cs="宋体" w:asciiTheme="minorEastAsia" w:hAnsiTheme="minorEastAsia" w:eastAsiaTheme="minorEastAsia"/>
          <w:kern w:val="0"/>
          <w:sz w:val="28"/>
          <w:szCs w:val="28"/>
        </w:rPr>
        <w:t>,公司无</w:t>
      </w:r>
      <w:r>
        <w:rPr>
          <w:rFonts w:cs="宋体" w:asciiTheme="minorEastAsia" w:hAnsiTheme="minorEastAsia" w:eastAsiaTheme="minorEastAsia"/>
          <w:kern w:val="0"/>
          <w:sz w:val="28"/>
          <w:szCs w:val="28"/>
          <w:lang w:val="zh-CN"/>
        </w:rPr>
        <w:t>质量信用不良记录和良好记录情况。</w:t>
      </w:r>
    </w:p>
    <w:p>
      <w:pPr>
        <w:spacing w:line="440" w:lineRule="exact"/>
        <w:rPr>
          <w:b/>
          <w:sz w:val="36"/>
          <w:szCs w:val="36"/>
        </w:rPr>
      </w:pPr>
    </w:p>
    <w:p>
      <w:pPr>
        <w:spacing w:line="440" w:lineRule="exact"/>
        <w:rPr>
          <w:b/>
          <w:sz w:val="36"/>
          <w:szCs w:val="36"/>
        </w:rPr>
      </w:pPr>
    </w:p>
    <w:p>
      <w:pPr>
        <w:spacing w:line="440" w:lineRule="exact"/>
        <w:ind w:firstLine="2530" w:firstLineChars="700"/>
        <w:rPr>
          <w:rFonts w:cs="宋体" w:asciiTheme="minorEastAsia" w:hAnsiTheme="minorEastAsia" w:eastAsiaTheme="minorEastAsia"/>
          <w:kern w:val="0"/>
          <w:sz w:val="28"/>
          <w:szCs w:val="28"/>
          <w:lang w:val="zh-CN"/>
        </w:rPr>
      </w:pPr>
      <w:r>
        <w:rPr>
          <w:rFonts w:hint="eastAsia"/>
          <w:b/>
          <w:sz w:val="36"/>
          <w:szCs w:val="36"/>
        </w:rPr>
        <w:t>第三部分：报告结语</w:t>
      </w:r>
    </w:p>
    <w:p>
      <w:pPr>
        <w:widowControl/>
        <w:shd w:val="clear" w:color="auto" w:fill="FFFFFF"/>
        <w:spacing w:line="480" w:lineRule="exact"/>
        <w:jc w:val="left"/>
        <w:rPr>
          <w:rFonts w:cs="宋体" w:asciiTheme="minorEastAsia" w:hAnsiTheme="minorEastAsia"/>
          <w:color w:val="000000" w:themeColor="text1"/>
          <w:kern w:val="0"/>
          <w:sz w:val="28"/>
          <w:szCs w:val="28"/>
        </w:rPr>
      </w:pPr>
    </w:p>
    <w:p>
      <w:pPr>
        <w:widowControl/>
        <w:shd w:val="clear" w:color="auto" w:fill="FFFFFF"/>
        <w:spacing w:line="480" w:lineRule="exact"/>
        <w:jc w:val="left"/>
        <w:rPr>
          <w:rFonts w:cs="宋体" w:asciiTheme="minorEastAsia" w:hAnsiTheme="minorEastAsia"/>
          <w:b/>
          <w:color w:val="000000" w:themeColor="text1"/>
          <w:kern w:val="0"/>
          <w:sz w:val="28"/>
          <w:szCs w:val="28"/>
        </w:rPr>
      </w:pPr>
      <w:r>
        <w:rPr>
          <w:rFonts w:hint="eastAsia" w:cs="宋体" w:asciiTheme="minorEastAsia" w:hAnsiTheme="minorEastAsia"/>
          <w:b/>
          <w:color w:val="000000" w:themeColor="text1"/>
          <w:kern w:val="0"/>
          <w:sz w:val="28"/>
          <w:szCs w:val="28"/>
        </w:rPr>
        <w:t>3.1未来展望</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cs="宋体" w:asciiTheme="minorEastAsia" w:hAnsiTheme="minorEastAsia"/>
          <w:color w:val="000000"/>
          <w:kern w:val="0"/>
          <w:sz w:val="28"/>
          <w:szCs w:val="28"/>
        </w:rPr>
        <w:t>质量管理是企业的软实力，信用是企业的根本</w:t>
      </w:r>
      <w:r>
        <w:rPr>
          <w:rFonts w:hint="eastAsia" w:cs="宋体" w:asciiTheme="minorEastAsia" w:hAnsiTheme="minorEastAsia"/>
          <w:color w:val="000000"/>
          <w:kern w:val="0"/>
          <w:sz w:val="28"/>
          <w:szCs w:val="28"/>
        </w:rPr>
        <w:t>。</w:t>
      </w:r>
      <w:r>
        <w:rPr>
          <w:rFonts w:cs="宋体" w:asciiTheme="minorEastAsia" w:hAnsiTheme="minorEastAsia"/>
          <w:color w:val="000000"/>
          <w:kern w:val="0"/>
          <w:sz w:val="28"/>
          <w:szCs w:val="28"/>
        </w:rPr>
        <w:t>公司一直以品质而自豪，只有持续改进的质量管理系统，良好的信用需要卓越的质量支撑，需要优秀的服务维系，未来公司将以强烈的责任感和高度的使命感来扎实推进质量管理，稳固维系企业信用。以卓越的产品质量占领市场，以良好的信誉留住客户，推进质量管理体系的持续改进和高效运行，全面强化全员维护名牌形象、</w:t>
      </w:r>
    </w:p>
    <w:p>
      <w:pPr>
        <w:widowControl/>
        <w:shd w:val="clear" w:color="auto" w:fill="FFFFFF"/>
        <w:spacing w:line="480" w:lineRule="exact"/>
        <w:ind w:firstLine="560" w:firstLineChars="200"/>
        <w:jc w:val="left"/>
        <w:rPr>
          <w:rFonts w:cs="宋体" w:asciiTheme="minorEastAsia" w:hAnsiTheme="minorEastAsia"/>
          <w:color w:val="000000"/>
          <w:kern w:val="0"/>
          <w:sz w:val="28"/>
          <w:szCs w:val="28"/>
        </w:rPr>
      </w:pPr>
      <w:r>
        <w:rPr>
          <w:rFonts w:hint="eastAsia" w:cs="宋体" w:asciiTheme="minorEastAsia" w:hAnsiTheme="minorEastAsia"/>
          <w:color w:val="000000"/>
          <w:kern w:val="0"/>
          <w:sz w:val="28"/>
          <w:szCs w:val="28"/>
        </w:rPr>
        <w:t>公司</w:t>
      </w:r>
      <w:r>
        <w:rPr>
          <w:rFonts w:cs="宋体" w:asciiTheme="minorEastAsia" w:hAnsiTheme="minorEastAsia"/>
          <w:color w:val="000000"/>
          <w:kern w:val="0"/>
          <w:sz w:val="28"/>
          <w:szCs w:val="28"/>
        </w:rPr>
        <w:t>落实在过程质量监管上，不断提高工作责任心和管控力度，为广大客户提供优质产品和服务，坚决履行企业的质量主体责任，以质量为基、信用为本，向质量要效益、促发展，真正达到诚信经营、以质取胜。</w:t>
      </w:r>
    </w:p>
    <w:p>
      <w:pPr>
        <w:widowControl/>
        <w:shd w:val="clear" w:color="auto" w:fill="FFFFFF"/>
        <w:spacing w:line="480" w:lineRule="exact"/>
        <w:jc w:val="left"/>
        <w:outlineLvl w:val="1"/>
        <w:rPr>
          <w:rFonts w:cs="Tahoma" w:asciiTheme="minorEastAsia" w:hAnsiTheme="minorEastAsia" w:eastAsiaTheme="minorEastAsia"/>
          <w:b/>
          <w:color w:val="000000"/>
          <w:kern w:val="0"/>
          <w:sz w:val="28"/>
          <w:szCs w:val="28"/>
        </w:rPr>
      </w:pPr>
      <w:r>
        <w:rPr>
          <w:rFonts w:cs="Tahoma" w:asciiTheme="minorEastAsia" w:hAnsiTheme="minorEastAsia" w:eastAsiaTheme="minorEastAsia"/>
          <w:b/>
          <w:color w:val="000000"/>
          <w:kern w:val="0"/>
          <w:sz w:val="28"/>
          <w:szCs w:val="28"/>
        </w:rPr>
        <w:t>3.2读者意见反馈</w:t>
      </w:r>
    </w:p>
    <w:p>
      <w:pPr>
        <w:widowControl/>
        <w:shd w:val="clear" w:color="auto" w:fill="FFFFFF"/>
        <w:spacing w:line="480" w:lineRule="exact"/>
        <w:ind w:firstLine="560" w:firstLineChars="2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尊敬的读者：</w:t>
      </w:r>
    </w:p>
    <w:p>
      <w:pPr>
        <w:widowControl/>
        <w:shd w:val="clear" w:color="auto" w:fill="FFFFFF"/>
        <w:spacing w:line="480" w:lineRule="exact"/>
        <w:ind w:firstLine="560" w:firstLineChars="2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感谢您阅读本报告，为了持续改进公司质量诚信问题，提高质量服务水平，我们真诚的希望您能对本报告给予评价，并提出您的宝贵意见，我们对此非常感谢！</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您可以选择以下方式提出您的意见或建议：</w:t>
      </w:r>
    </w:p>
    <w:p>
      <w:pPr>
        <w:widowControl/>
        <w:shd w:val="clear" w:color="auto" w:fill="FFFFFF"/>
        <w:spacing w:line="300" w:lineRule="atLeast"/>
        <w:rPr>
          <w:rFonts w:cs="宋体" w:asciiTheme="minorEastAsia" w:hAnsiTheme="minorEastAsia"/>
          <w:color w:val="000000"/>
          <w:kern w:val="0"/>
          <w:sz w:val="28"/>
          <w:szCs w:val="28"/>
        </w:rPr>
      </w:pPr>
      <w:r>
        <w:rPr>
          <w:rFonts w:cs="宋体" w:asciiTheme="minorEastAsia" w:hAnsiTheme="minorEastAsia"/>
          <w:color w:val="000000"/>
          <w:kern w:val="0"/>
          <w:sz w:val="28"/>
          <w:szCs w:val="28"/>
        </w:rPr>
        <w:t>联系方式</w:t>
      </w:r>
      <w:r>
        <w:rPr>
          <w:rFonts w:hint="eastAsia" w:cs="宋体" w:asciiTheme="minorEastAsia" w:hAnsiTheme="minorEastAsia"/>
          <w:color w:val="000000"/>
          <w:kern w:val="0"/>
          <w:sz w:val="28"/>
          <w:szCs w:val="28"/>
        </w:rPr>
        <w:t>：</w:t>
      </w:r>
      <w:r>
        <w:rPr>
          <w:rFonts w:cs="宋体" w:asciiTheme="minorEastAsia" w:hAnsiTheme="minorEastAsia"/>
          <w:color w:val="000000"/>
          <w:kern w:val="0"/>
          <w:sz w:val="28"/>
          <w:szCs w:val="28"/>
        </w:rPr>
        <w:t xml:space="preserve">浙江慧琳工贸有限公司   </w:t>
      </w:r>
    </w:p>
    <w:p>
      <w:pPr>
        <w:spacing w:line="432" w:lineRule="auto"/>
        <w:rPr>
          <w:rFonts w:asciiTheme="minorEastAsia" w:hAnsiTheme="minorEastAsia" w:eastAsiaTheme="minorEastAsia"/>
          <w:sz w:val="28"/>
          <w:szCs w:val="28"/>
        </w:rPr>
      </w:pPr>
      <w:r>
        <w:rPr>
          <w:rFonts w:ascii="宋体" w:hAnsi="宋体"/>
          <w:sz w:val="28"/>
          <w:szCs w:val="28"/>
        </w:rPr>
        <w:t>公司</w:t>
      </w:r>
      <w:r>
        <w:rPr>
          <w:rFonts w:hint="eastAsia" w:ascii="宋体" w:hAnsi="宋体"/>
          <w:sz w:val="28"/>
          <w:szCs w:val="28"/>
        </w:rPr>
        <w:t xml:space="preserve">地址：浙江省金华市金东区孝顺镇低田工业区浦莘路388号  </w:t>
      </w:r>
    </w:p>
    <w:p>
      <w:pPr>
        <w:spacing w:line="432"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联系人：</w:t>
      </w:r>
      <w:r>
        <w:rPr>
          <w:rFonts w:hint="eastAsia" w:ascii="宋体" w:hAnsi="宋体" w:cs="宋体"/>
          <w:sz w:val="28"/>
          <w:szCs w:val="28"/>
        </w:rPr>
        <w:t>曹文金</w:t>
      </w:r>
    </w:p>
    <w:p>
      <w:pPr>
        <w:spacing w:line="432" w:lineRule="auto"/>
        <w:rPr>
          <w:rFonts w:asciiTheme="minorEastAsia" w:hAnsiTheme="minorEastAsia" w:eastAsiaTheme="minorEastAsia"/>
          <w:sz w:val="28"/>
          <w:szCs w:val="28"/>
        </w:rPr>
      </w:pPr>
      <w:r>
        <w:rPr>
          <w:rFonts w:hint="eastAsia" w:asciiTheme="minorEastAsia" w:hAnsiTheme="minorEastAsia" w:eastAsiaTheme="minorEastAsia"/>
          <w:sz w:val="28"/>
          <w:szCs w:val="28"/>
        </w:rPr>
        <w:t>电话：</w:t>
      </w:r>
      <w:r>
        <w:rPr>
          <w:rFonts w:hint="eastAsia" w:ascii="宋体" w:hAnsi="宋体" w:cs="宋体"/>
          <w:sz w:val="28"/>
          <w:szCs w:val="28"/>
        </w:rPr>
        <w:t xml:space="preserve">13868966885 </w:t>
      </w:r>
    </w:p>
    <w:p>
      <w:pPr>
        <w:spacing w:line="432" w:lineRule="auto"/>
        <w:rPr>
          <w:rStyle w:val="101"/>
          <w:rFonts w:ascii="宋体" w:hAnsi="宋体"/>
          <w:bCs w:val="0"/>
          <w:color w:val="000000" w:themeColor="text1"/>
          <w:sz w:val="28"/>
          <w:szCs w:val="28"/>
        </w:rPr>
      </w:pPr>
      <w:r>
        <w:rPr>
          <w:rFonts w:hint="eastAsia" w:asciiTheme="minorEastAsia" w:hAnsiTheme="minorEastAsia" w:eastAsiaTheme="minorEastAsia"/>
          <w:sz w:val="28"/>
          <w:szCs w:val="28"/>
        </w:rPr>
        <w:t>网址：www.hlgongmao.com</w:t>
      </w:r>
    </w:p>
    <w:p>
      <w:pPr>
        <w:widowControl/>
        <w:shd w:val="clear" w:color="auto" w:fill="FFFFFF"/>
        <w:spacing w:line="480" w:lineRule="exact"/>
        <w:jc w:val="center"/>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w:t>
      </w:r>
      <w:r>
        <w:rPr>
          <w:rFonts w:hint="eastAsia" w:cs="仿宋" w:asciiTheme="minorEastAsia" w:hAnsiTheme="minorEastAsia" w:eastAsiaTheme="minorEastAsia"/>
          <w:sz w:val="28"/>
          <w:szCs w:val="28"/>
        </w:rPr>
        <w:t>浙江慧琳工贸有限公司</w:t>
      </w:r>
      <w:r>
        <w:rPr>
          <w:rFonts w:cs="Tahoma" w:asciiTheme="minorEastAsia" w:hAnsiTheme="minorEastAsia" w:eastAsiaTheme="minorEastAsia"/>
          <w:color w:val="000000"/>
          <w:kern w:val="0"/>
          <w:sz w:val="28"/>
          <w:szCs w:val="28"/>
        </w:rPr>
        <w:t>202</w:t>
      </w:r>
      <w:r>
        <w:rPr>
          <w:rFonts w:hint="eastAsia" w:cs="Tahoma" w:asciiTheme="minorEastAsia" w:hAnsiTheme="minorEastAsia" w:eastAsiaTheme="minorEastAsia"/>
          <w:color w:val="000000"/>
          <w:kern w:val="0"/>
          <w:sz w:val="28"/>
          <w:szCs w:val="28"/>
        </w:rPr>
        <w:t>2</w:t>
      </w:r>
      <w:r>
        <w:rPr>
          <w:rFonts w:cs="Tahoma" w:asciiTheme="minorEastAsia" w:hAnsiTheme="minorEastAsia" w:eastAsiaTheme="minorEastAsia"/>
          <w:color w:val="000000"/>
          <w:kern w:val="0"/>
          <w:sz w:val="28"/>
          <w:szCs w:val="28"/>
        </w:rPr>
        <w:t>年度质量诚信报告》读者意见反馈表</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姓名：    </w:t>
      </w:r>
      <w:r>
        <w:rPr>
          <w:rFonts w:hint="eastAsia" w:ascii="Tahoma" w:hAnsi="Tahoma" w:cs="Tahoma"/>
          <w:color w:val="000000"/>
          <w:kern w:val="0"/>
          <w:sz w:val="28"/>
          <w:szCs w:val="28"/>
        </w:rPr>
        <w:t xml:space="preserve"> </w:t>
      </w:r>
      <w:r>
        <w:rPr>
          <w:rFonts w:ascii="Tahoma" w:hAnsi="Tahoma" w:cs="Tahoma"/>
          <w:color w:val="000000"/>
          <w:kern w:val="0"/>
          <w:sz w:val="28"/>
          <w:szCs w:val="28"/>
        </w:rPr>
        <w:t>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工作单位：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联系电话：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电子邮箱：                                                    </w:t>
      </w:r>
    </w:p>
    <w:p>
      <w:pPr>
        <w:widowControl/>
        <w:shd w:val="clear" w:color="auto" w:fill="FFFFFF"/>
        <w:spacing w:line="480" w:lineRule="exact"/>
        <w:jc w:val="left"/>
        <w:rPr>
          <w:rFonts w:ascii="Tahoma" w:hAnsi="Tahoma" w:cs="Tahoma"/>
          <w:color w:val="000000"/>
          <w:kern w:val="0"/>
          <w:sz w:val="28"/>
          <w:szCs w:val="28"/>
        </w:rPr>
      </w:pPr>
      <w:r>
        <w:rPr>
          <w:rFonts w:ascii="Tahoma" w:hAnsi="Tahoma" w:cs="Tahoma"/>
          <w:color w:val="000000"/>
          <w:kern w:val="0"/>
          <w:sz w:val="28"/>
          <w:szCs w:val="28"/>
        </w:rPr>
        <w:t>调查内容：</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1.您是否在本报告中获得了您所要了解的信息？    </w:t>
      </w:r>
      <w:r>
        <w:rPr>
          <w:rFonts w:hint="eastAsia" w:cs="Tahoma" w:asciiTheme="minorEastAsia" w:hAnsiTheme="minorEastAsia" w:eastAsiaTheme="minorEastAsia"/>
          <w:color w:val="000000"/>
          <w:kern w:val="0"/>
          <w:sz w:val="28"/>
          <w:szCs w:val="28"/>
        </w:rPr>
        <w:t xml:space="preserve"> </w:t>
      </w:r>
      <w:r>
        <w:rPr>
          <w:rFonts w:cs="Tahoma" w:asciiTheme="minorEastAsia" w:hAnsiTheme="minorEastAsia" w:eastAsiaTheme="minorEastAsia"/>
          <w:color w:val="000000"/>
          <w:kern w:val="0"/>
          <w:sz w:val="28"/>
          <w:szCs w:val="28"/>
        </w:rPr>
        <w:t>□是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2.您认为本报告是否全面反映了本公司质量诚信状况？ □是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3.您认为本报告是否全面反映了本公司质量管理状况？ □是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4.您认为本报告是否全面反映了本公司相关方质量诚信状况？</w:t>
      </w:r>
    </w:p>
    <w:p>
      <w:pPr>
        <w:widowControl/>
        <w:shd w:val="clear" w:color="auto" w:fill="FFFFFF"/>
        <w:spacing w:line="480" w:lineRule="exact"/>
        <w:ind w:firstLine="7000" w:firstLineChars="2500"/>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□是 □否</w:t>
      </w:r>
    </w:p>
    <w:p>
      <w:pPr>
        <w:widowControl/>
        <w:shd w:val="clear" w:color="auto" w:fill="FFFFFF"/>
        <w:spacing w:line="480" w:lineRule="exact"/>
        <w:jc w:val="left"/>
        <w:rPr>
          <w:rFonts w:cs="Tahoma" w:asciiTheme="minorEastAsia" w:hAnsiTheme="minorEastAsia" w:eastAsiaTheme="minorEastAsia"/>
          <w:color w:val="000000"/>
          <w:kern w:val="0"/>
          <w:sz w:val="28"/>
          <w:szCs w:val="28"/>
        </w:rPr>
      </w:pPr>
      <w:r>
        <w:rPr>
          <w:rFonts w:cs="Tahoma" w:asciiTheme="minorEastAsia" w:hAnsiTheme="minorEastAsia" w:eastAsiaTheme="minorEastAsia"/>
          <w:color w:val="000000"/>
          <w:kern w:val="0"/>
          <w:sz w:val="28"/>
          <w:szCs w:val="28"/>
        </w:rPr>
        <w:t>5.上述内容如选择“否”请说明具体内容，同时欢迎提出相应意见和建议。</w:t>
      </w:r>
    </w:p>
    <w:sectPr>
      <w:footerReference r:id="rId4" w:type="default"/>
      <w:pgSz w:w="11906" w:h="16838"/>
      <w:pgMar w:top="1440" w:right="1133"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40412"/>
    </w:sdtPr>
    <w:sdtContent>
      <w:p>
        <w:pPr>
          <w:pStyle w:val="15"/>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jc w:val="both"/>
      <w:rPr>
        <w:rFonts w:ascii="宋体" w:hAnsi="宋体" w:cs="宋体"/>
        <w:b/>
        <w:color w:val="000000"/>
        <w:sz w:val="21"/>
        <w:szCs w:val="21"/>
      </w:rPr>
    </w:pPr>
    <w:r>
      <w:rPr>
        <w:rFonts w:ascii="微软雅黑" w:hAnsi="微软雅黑" w:eastAsia="微软雅黑"/>
        <w:sz w:val="24"/>
      </w:rPr>
      <w:drawing>
        <wp:inline distT="0" distB="0" distL="0" distR="0">
          <wp:extent cx="643890" cy="335280"/>
          <wp:effectExtent l="19050" t="0" r="3810" b="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 cstate="print"/>
                  <a:stretch>
                    <a:fillRect/>
                  </a:stretch>
                </pic:blipFill>
                <pic:spPr>
                  <a:xfrm>
                    <a:off x="0" y="0"/>
                    <a:ext cx="643946" cy="335309"/>
                  </a:xfrm>
                  <a:prstGeom prst="rect">
                    <a:avLst/>
                  </a:prstGeom>
                </pic:spPr>
              </pic:pic>
            </a:graphicData>
          </a:graphic>
        </wp:inline>
      </w:drawing>
    </w:r>
    <w:r>
      <w:rPr>
        <w:rFonts w:hint="eastAsia" w:ascii="微软雅黑" w:hAnsi="微软雅黑" w:eastAsia="微软雅黑"/>
        <w:sz w:val="24"/>
        <w:szCs w:val="24"/>
      </w:rPr>
      <w:t>浙江慧琳工贸有限公司</w:t>
    </w:r>
    <w:r>
      <w:rPr>
        <w:rFonts w:hint="eastAsia" w:ascii="微软雅黑" w:hAnsi="微软雅黑" w:eastAsia="微软雅黑"/>
        <w:sz w:val="24"/>
      </w:rPr>
      <w:t xml:space="preserve">  </w:t>
    </w:r>
    <w:r>
      <w:rPr>
        <w:rFonts w:hint="eastAsia"/>
        <w:b/>
        <w:sz w:val="24"/>
      </w:rPr>
      <w:t xml:space="preserve">  </w:t>
    </w:r>
    <w:r>
      <w:rPr>
        <w:rFonts w:hint="eastAsia" w:ascii="微软雅黑" w:hAnsi="微软雅黑" w:eastAsia="微软雅黑"/>
        <w:sz w:val="24"/>
      </w:rPr>
      <w:t xml:space="preserve">   </w:t>
    </w:r>
    <w:r>
      <w:rPr>
        <w:rFonts w:hint="eastAsia" w:ascii="微软雅黑" w:hAnsi="微软雅黑" w:eastAsia="微软雅黑"/>
        <w:sz w:val="24"/>
        <w:szCs w:val="24"/>
      </w:rPr>
      <w:t xml:space="preserve">       </w:t>
    </w:r>
    <w:r>
      <w:rPr>
        <w:rFonts w:hint="eastAsia" w:ascii="微软雅黑" w:hAnsi="微软雅黑" w:eastAsia="微软雅黑"/>
        <w:sz w:val="21"/>
        <w:szCs w:val="21"/>
      </w:rPr>
      <w:t>“ 浙江制造”认证质量诚信报告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33"/>
      <w:suff w:val="nothing"/>
      <w:lvlText w:val="%1　"/>
      <w:lvlJc w:val="left"/>
      <w:rPr>
        <w:rFonts w:hint="eastAsia" w:ascii="黑体" w:hAnsi="Times New Roman" w:eastAsia="黑体" w:cs="Times New Roman"/>
        <w:b w:val="0"/>
        <w:i w:val="0"/>
        <w:sz w:val="28"/>
        <w:szCs w:val="28"/>
      </w:rPr>
    </w:lvl>
    <w:lvl w:ilvl="1" w:tentative="0">
      <w:start w:val="1"/>
      <w:numFmt w:val="decimal"/>
      <w:pStyle w:val="32"/>
      <w:suff w:val="nothing"/>
      <w:lvlText w:val="%1.%2　"/>
      <w:lvlJc w:val="left"/>
      <w:pPr>
        <w:ind w:left="63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pStyle w:val="34"/>
      <w:suff w:val="nothing"/>
      <w:lvlText w:val="%1.%2.%3　"/>
      <w:lvlJc w:val="left"/>
      <w:pPr>
        <w:ind w:left="993"/>
      </w:pPr>
      <w:rPr>
        <w:rFonts w:hint="eastAsia" w:ascii="黑体" w:hAnsi="Times New Roman" w:eastAsia="黑体" w:cs="Times New Roman"/>
        <w:b w:val="0"/>
        <w:i w:val="0"/>
        <w:sz w:val="21"/>
      </w:rPr>
    </w:lvl>
    <w:lvl w:ilvl="3" w:tentative="0">
      <w:start w:val="1"/>
      <w:numFmt w:val="decimal"/>
      <w:pStyle w:val="36"/>
      <w:suff w:val="nothing"/>
      <w:lvlText w:val="%1.%2.%3.%4　"/>
      <w:lvlJc w:val="left"/>
      <w:pPr>
        <w:ind w:left="630"/>
      </w:pPr>
      <w:rPr>
        <w:rFonts w:hint="eastAsia" w:ascii="黑体" w:hAnsi="Times New Roman" w:eastAsia="黑体" w:cs="Times New Roman"/>
        <w:b w:val="0"/>
        <w:i w:val="0"/>
        <w:sz w:val="21"/>
      </w:rPr>
    </w:lvl>
    <w:lvl w:ilvl="4" w:tentative="0">
      <w:start w:val="1"/>
      <w:numFmt w:val="decimal"/>
      <w:pStyle w:val="38"/>
      <w:suff w:val="nothing"/>
      <w:lvlText w:val="%1.%2.%3.%4.%5　"/>
      <w:lvlJc w:val="left"/>
      <w:rPr>
        <w:rFonts w:hint="eastAsia" w:ascii="黑体" w:hAnsi="Times New Roman" w:eastAsia="黑体" w:cs="Times New Roman"/>
        <w:b w:val="0"/>
        <w:i w:val="0"/>
        <w:sz w:val="21"/>
      </w:rPr>
    </w:lvl>
    <w:lvl w:ilvl="5" w:tentative="0">
      <w:start w:val="1"/>
      <w:numFmt w:val="decimal"/>
      <w:pStyle w:val="39"/>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
    <w:nsid w:val="44C50F90"/>
    <w:multiLevelType w:val="multilevel"/>
    <w:tmpl w:val="44C50F90"/>
    <w:lvl w:ilvl="0" w:tentative="0">
      <w:start w:val="1"/>
      <w:numFmt w:val="lowerLetter"/>
      <w:pStyle w:val="40"/>
      <w:lvlText w:val="%1)"/>
      <w:lvlJc w:val="left"/>
      <w:pPr>
        <w:tabs>
          <w:tab w:val="left" w:pos="840"/>
        </w:tabs>
        <w:ind w:left="839" w:hanging="419"/>
      </w:pPr>
      <w:rPr>
        <w:rFonts w:hint="eastAsia" w:ascii="宋体" w:eastAsia="宋体" w:cs="Times New Roman"/>
        <w:b w:val="0"/>
        <w:i w:val="0"/>
        <w:sz w:val="21"/>
        <w:szCs w:val="21"/>
      </w:rPr>
    </w:lvl>
    <w:lvl w:ilvl="1" w:tentative="0">
      <w:start w:val="1"/>
      <w:numFmt w:val="decimal"/>
      <w:pStyle w:val="37"/>
      <w:lvlText w:val="%2)"/>
      <w:lvlJc w:val="left"/>
      <w:pPr>
        <w:tabs>
          <w:tab w:val="left" w:pos="1260"/>
        </w:tabs>
        <w:ind w:left="1259" w:hanging="419"/>
      </w:pPr>
      <w:rPr>
        <w:rFonts w:hint="eastAsia" w:cs="Times New Roman"/>
      </w:rPr>
    </w:lvl>
    <w:lvl w:ilvl="2" w:tentative="0">
      <w:start w:val="1"/>
      <w:numFmt w:val="decimal"/>
      <w:pStyle w:val="41"/>
      <w:lvlText w:val="(%3)"/>
      <w:lvlJc w:val="left"/>
      <w:pPr>
        <w:tabs>
          <w:tab w:val="left" w:pos="0"/>
        </w:tabs>
        <w:ind w:left="1679" w:hanging="420"/>
      </w:pPr>
      <w:rPr>
        <w:rFonts w:hint="eastAsia" w:ascii="宋体" w:eastAsia="宋体" w:cs="Times New Roman"/>
        <w:b w:val="0"/>
        <w:i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2">
    <w:nsid w:val="646260FA"/>
    <w:multiLevelType w:val="multilevel"/>
    <w:tmpl w:val="646260FA"/>
    <w:lvl w:ilvl="0" w:tentative="0">
      <w:start w:val="1"/>
      <w:numFmt w:val="decimal"/>
      <w:pStyle w:val="117"/>
      <w:suff w:val="nothing"/>
      <w:lvlText w:val="表%1　"/>
      <w:lvlJc w:val="left"/>
      <w:pPr>
        <w:ind w:left="3403" w:firstLine="0"/>
      </w:pPr>
      <w:rPr>
        <w:rFonts w:hint="eastAsia" w:ascii="黑体" w:hAnsi="Times New Roman" w:eastAsia="黑体"/>
        <w:b w:val="0"/>
        <w:i w:val="0"/>
        <w:sz w:val="21"/>
        <w:lang w:val="en-US"/>
      </w:rPr>
    </w:lvl>
    <w:lvl w:ilvl="1" w:tentative="0">
      <w:start w:val="1"/>
      <w:numFmt w:val="decimal"/>
      <w:lvlText w:val="%1.%2"/>
      <w:lvlJc w:val="left"/>
      <w:pPr>
        <w:tabs>
          <w:tab w:val="left" w:pos="4395"/>
        </w:tabs>
        <w:ind w:left="4395" w:hanging="567"/>
      </w:pPr>
    </w:lvl>
    <w:lvl w:ilvl="2" w:tentative="0">
      <w:start w:val="1"/>
      <w:numFmt w:val="decimal"/>
      <w:lvlText w:val="%1.%2.%3"/>
      <w:lvlJc w:val="left"/>
      <w:pPr>
        <w:tabs>
          <w:tab w:val="left" w:pos="4821"/>
        </w:tabs>
        <w:ind w:left="4821" w:hanging="567"/>
      </w:pPr>
    </w:lvl>
    <w:lvl w:ilvl="3" w:tentative="0">
      <w:start w:val="1"/>
      <w:numFmt w:val="decimal"/>
      <w:lvlText w:val="%1.%2.%3.%4"/>
      <w:lvlJc w:val="left"/>
      <w:pPr>
        <w:tabs>
          <w:tab w:val="left" w:pos="5387"/>
        </w:tabs>
        <w:ind w:left="5387" w:hanging="708"/>
      </w:pPr>
    </w:lvl>
    <w:lvl w:ilvl="4" w:tentative="0">
      <w:start w:val="1"/>
      <w:numFmt w:val="decimal"/>
      <w:lvlText w:val="%1.%2.%3.%4.%5"/>
      <w:lvlJc w:val="left"/>
      <w:pPr>
        <w:tabs>
          <w:tab w:val="left" w:pos="5954"/>
        </w:tabs>
        <w:ind w:left="5954" w:hanging="850"/>
      </w:pPr>
    </w:lvl>
    <w:lvl w:ilvl="5" w:tentative="0">
      <w:start w:val="1"/>
      <w:numFmt w:val="decimal"/>
      <w:lvlText w:val="%1.%2.%3.%4.%5.%6"/>
      <w:lvlJc w:val="left"/>
      <w:pPr>
        <w:tabs>
          <w:tab w:val="left" w:pos="6663"/>
        </w:tabs>
        <w:ind w:left="6663" w:hanging="1134"/>
      </w:pPr>
    </w:lvl>
    <w:lvl w:ilvl="6" w:tentative="0">
      <w:start w:val="1"/>
      <w:numFmt w:val="decimal"/>
      <w:lvlText w:val="%1.%2.%3.%4.%5.%6.%7"/>
      <w:lvlJc w:val="left"/>
      <w:pPr>
        <w:tabs>
          <w:tab w:val="left" w:pos="7230"/>
        </w:tabs>
        <w:ind w:left="7230" w:hanging="1276"/>
      </w:pPr>
    </w:lvl>
    <w:lvl w:ilvl="7" w:tentative="0">
      <w:start w:val="1"/>
      <w:numFmt w:val="decimal"/>
      <w:lvlText w:val="%1.%2.%3.%4.%5.%6.%7.%8"/>
      <w:lvlJc w:val="left"/>
      <w:pPr>
        <w:tabs>
          <w:tab w:val="left" w:pos="7797"/>
        </w:tabs>
        <w:ind w:left="7797" w:hanging="1418"/>
      </w:pPr>
    </w:lvl>
    <w:lvl w:ilvl="8" w:tentative="0">
      <w:start w:val="1"/>
      <w:numFmt w:val="decimal"/>
      <w:lvlText w:val="%1.%2.%3.%4.%5.%6.%7.%8.%9"/>
      <w:lvlJc w:val="left"/>
      <w:pPr>
        <w:tabs>
          <w:tab w:val="left" w:pos="8505"/>
        </w:tabs>
        <w:ind w:left="8505" w:hanging="170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wOTQzNjY2M2RiZmE1YTBjMDdkMDIyOTU3NGE4NDAifQ=="/>
  </w:docVars>
  <w:rsids>
    <w:rsidRoot w:val="00E23D39"/>
    <w:rsid w:val="000003BC"/>
    <w:rsid w:val="00000725"/>
    <w:rsid w:val="0000177F"/>
    <w:rsid w:val="0000182B"/>
    <w:rsid w:val="00001B50"/>
    <w:rsid w:val="00001B8B"/>
    <w:rsid w:val="00001BF1"/>
    <w:rsid w:val="00001F6F"/>
    <w:rsid w:val="00001FBC"/>
    <w:rsid w:val="00002023"/>
    <w:rsid w:val="000029D4"/>
    <w:rsid w:val="0000310E"/>
    <w:rsid w:val="00003298"/>
    <w:rsid w:val="00003504"/>
    <w:rsid w:val="00004FF5"/>
    <w:rsid w:val="00005095"/>
    <w:rsid w:val="00005112"/>
    <w:rsid w:val="00006691"/>
    <w:rsid w:val="00006879"/>
    <w:rsid w:val="0000713B"/>
    <w:rsid w:val="000079EB"/>
    <w:rsid w:val="00007B68"/>
    <w:rsid w:val="00010104"/>
    <w:rsid w:val="00011137"/>
    <w:rsid w:val="0001138A"/>
    <w:rsid w:val="0001142B"/>
    <w:rsid w:val="00011522"/>
    <w:rsid w:val="00011809"/>
    <w:rsid w:val="00012108"/>
    <w:rsid w:val="000121DB"/>
    <w:rsid w:val="00012353"/>
    <w:rsid w:val="00012B18"/>
    <w:rsid w:val="00012F18"/>
    <w:rsid w:val="00013862"/>
    <w:rsid w:val="00013F6D"/>
    <w:rsid w:val="000148D5"/>
    <w:rsid w:val="0001545B"/>
    <w:rsid w:val="00016268"/>
    <w:rsid w:val="00016306"/>
    <w:rsid w:val="00016B33"/>
    <w:rsid w:val="00020620"/>
    <w:rsid w:val="00021BE0"/>
    <w:rsid w:val="00021CCD"/>
    <w:rsid w:val="00021CDF"/>
    <w:rsid w:val="00021E24"/>
    <w:rsid w:val="0002253F"/>
    <w:rsid w:val="00023358"/>
    <w:rsid w:val="00024557"/>
    <w:rsid w:val="000248DA"/>
    <w:rsid w:val="00024A36"/>
    <w:rsid w:val="00024E8D"/>
    <w:rsid w:val="00025CE1"/>
    <w:rsid w:val="00025D97"/>
    <w:rsid w:val="00025F2A"/>
    <w:rsid w:val="00025FAB"/>
    <w:rsid w:val="00026A2D"/>
    <w:rsid w:val="00026CFB"/>
    <w:rsid w:val="000270D3"/>
    <w:rsid w:val="0002724A"/>
    <w:rsid w:val="000274B5"/>
    <w:rsid w:val="0003097F"/>
    <w:rsid w:val="00031777"/>
    <w:rsid w:val="000323FE"/>
    <w:rsid w:val="000325E3"/>
    <w:rsid w:val="0003262D"/>
    <w:rsid w:val="00032886"/>
    <w:rsid w:val="00033904"/>
    <w:rsid w:val="00033A2B"/>
    <w:rsid w:val="00034292"/>
    <w:rsid w:val="00034DBA"/>
    <w:rsid w:val="00035A0A"/>
    <w:rsid w:val="00035D25"/>
    <w:rsid w:val="0003627D"/>
    <w:rsid w:val="00036588"/>
    <w:rsid w:val="0003683D"/>
    <w:rsid w:val="00037366"/>
    <w:rsid w:val="00037A02"/>
    <w:rsid w:val="00037FC6"/>
    <w:rsid w:val="000406A0"/>
    <w:rsid w:val="000406FF"/>
    <w:rsid w:val="00040A1B"/>
    <w:rsid w:val="0004143E"/>
    <w:rsid w:val="00041894"/>
    <w:rsid w:val="0004196A"/>
    <w:rsid w:val="0004207A"/>
    <w:rsid w:val="0004209E"/>
    <w:rsid w:val="00042BCC"/>
    <w:rsid w:val="000435BB"/>
    <w:rsid w:val="00043918"/>
    <w:rsid w:val="00043DFA"/>
    <w:rsid w:val="000441AF"/>
    <w:rsid w:val="0004454B"/>
    <w:rsid w:val="000455A7"/>
    <w:rsid w:val="00046B47"/>
    <w:rsid w:val="00046BE3"/>
    <w:rsid w:val="00046CE9"/>
    <w:rsid w:val="0004715B"/>
    <w:rsid w:val="00047AAE"/>
    <w:rsid w:val="00050668"/>
    <w:rsid w:val="000513C8"/>
    <w:rsid w:val="00051B2F"/>
    <w:rsid w:val="00051E4A"/>
    <w:rsid w:val="0005279E"/>
    <w:rsid w:val="00052D8A"/>
    <w:rsid w:val="000530D1"/>
    <w:rsid w:val="00053251"/>
    <w:rsid w:val="00053408"/>
    <w:rsid w:val="00054A15"/>
    <w:rsid w:val="00054C4A"/>
    <w:rsid w:val="0005586C"/>
    <w:rsid w:val="000559C1"/>
    <w:rsid w:val="00055EE5"/>
    <w:rsid w:val="0005637F"/>
    <w:rsid w:val="00056C32"/>
    <w:rsid w:val="00057F89"/>
    <w:rsid w:val="00060140"/>
    <w:rsid w:val="00060283"/>
    <w:rsid w:val="00061A92"/>
    <w:rsid w:val="00062428"/>
    <w:rsid w:val="000631AA"/>
    <w:rsid w:val="00064C0A"/>
    <w:rsid w:val="00065389"/>
    <w:rsid w:val="00065616"/>
    <w:rsid w:val="0006625D"/>
    <w:rsid w:val="0006678D"/>
    <w:rsid w:val="0006681A"/>
    <w:rsid w:val="00066F66"/>
    <w:rsid w:val="00066FAB"/>
    <w:rsid w:val="00067799"/>
    <w:rsid w:val="00067A61"/>
    <w:rsid w:val="00067C41"/>
    <w:rsid w:val="0007047C"/>
    <w:rsid w:val="00070656"/>
    <w:rsid w:val="000708B0"/>
    <w:rsid w:val="00070B5C"/>
    <w:rsid w:val="00070F9A"/>
    <w:rsid w:val="00070FD3"/>
    <w:rsid w:val="00071154"/>
    <w:rsid w:val="00071EFE"/>
    <w:rsid w:val="000720B4"/>
    <w:rsid w:val="000722A9"/>
    <w:rsid w:val="00073179"/>
    <w:rsid w:val="00073C4A"/>
    <w:rsid w:val="000741EE"/>
    <w:rsid w:val="00075AC9"/>
    <w:rsid w:val="00076F61"/>
    <w:rsid w:val="0007780A"/>
    <w:rsid w:val="00080137"/>
    <w:rsid w:val="0008097F"/>
    <w:rsid w:val="00080ADA"/>
    <w:rsid w:val="00080E24"/>
    <w:rsid w:val="00081246"/>
    <w:rsid w:val="00081765"/>
    <w:rsid w:val="00082BF4"/>
    <w:rsid w:val="00082DDB"/>
    <w:rsid w:val="00082EFE"/>
    <w:rsid w:val="000832AF"/>
    <w:rsid w:val="00083505"/>
    <w:rsid w:val="00083F8E"/>
    <w:rsid w:val="000842AD"/>
    <w:rsid w:val="00084343"/>
    <w:rsid w:val="000847C7"/>
    <w:rsid w:val="00084EDA"/>
    <w:rsid w:val="000851B2"/>
    <w:rsid w:val="0008524D"/>
    <w:rsid w:val="00085905"/>
    <w:rsid w:val="00085DF6"/>
    <w:rsid w:val="000862FC"/>
    <w:rsid w:val="0008634B"/>
    <w:rsid w:val="00086B8F"/>
    <w:rsid w:val="0008707D"/>
    <w:rsid w:val="000875D7"/>
    <w:rsid w:val="00087ECE"/>
    <w:rsid w:val="00087F5F"/>
    <w:rsid w:val="00090766"/>
    <w:rsid w:val="000907FB"/>
    <w:rsid w:val="000911B2"/>
    <w:rsid w:val="00091C63"/>
    <w:rsid w:val="000924AB"/>
    <w:rsid w:val="000928E7"/>
    <w:rsid w:val="00092FAD"/>
    <w:rsid w:val="00093184"/>
    <w:rsid w:val="00093242"/>
    <w:rsid w:val="00093EB7"/>
    <w:rsid w:val="00094AFB"/>
    <w:rsid w:val="00094E4C"/>
    <w:rsid w:val="00095863"/>
    <w:rsid w:val="0009587B"/>
    <w:rsid w:val="00096BC7"/>
    <w:rsid w:val="00096F2B"/>
    <w:rsid w:val="00097B0F"/>
    <w:rsid w:val="000A005C"/>
    <w:rsid w:val="000A0E1A"/>
    <w:rsid w:val="000A1CAA"/>
    <w:rsid w:val="000A2332"/>
    <w:rsid w:val="000A2452"/>
    <w:rsid w:val="000A2D4F"/>
    <w:rsid w:val="000A383C"/>
    <w:rsid w:val="000A3E2D"/>
    <w:rsid w:val="000A4246"/>
    <w:rsid w:val="000A433F"/>
    <w:rsid w:val="000A43BD"/>
    <w:rsid w:val="000A44F1"/>
    <w:rsid w:val="000A45AB"/>
    <w:rsid w:val="000A5519"/>
    <w:rsid w:val="000A5ACF"/>
    <w:rsid w:val="000A5D2E"/>
    <w:rsid w:val="000A69EC"/>
    <w:rsid w:val="000A712A"/>
    <w:rsid w:val="000A7136"/>
    <w:rsid w:val="000A7333"/>
    <w:rsid w:val="000A745D"/>
    <w:rsid w:val="000A75D4"/>
    <w:rsid w:val="000A7744"/>
    <w:rsid w:val="000B017E"/>
    <w:rsid w:val="000B0370"/>
    <w:rsid w:val="000B0715"/>
    <w:rsid w:val="000B0F5E"/>
    <w:rsid w:val="000B0F61"/>
    <w:rsid w:val="000B1591"/>
    <w:rsid w:val="000B1C6E"/>
    <w:rsid w:val="000B2309"/>
    <w:rsid w:val="000B29D8"/>
    <w:rsid w:val="000B2DBB"/>
    <w:rsid w:val="000B33E7"/>
    <w:rsid w:val="000B342A"/>
    <w:rsid w:val="000B359A"/>
    <w:rsid w:val="000B3630"/>
    <w:rsid w:val="000B3632"/>
    <w:rsid w:val="000B364A"/>
    <w:rsid w:val="000B3881"/>
    <w:rsid w:val="000B3ACD"/>
    <w:rsid w:val="000B41DE"/>
    <w:rsid w:val="000B44BB"/>
    <w:rsid w:val="000B458F"/>
    <w:rsid w:val="000B46BC"/>
    <w:rsid w:val="000B4FB7"/>
    <w:rsid w:val="000B5148"/>
    <w:rsid w:val="000B587E"/>
    <w:rsid w:val="000B5999"/>
    <w:rsid w:val="000B5C7F"/>
    <w:rsid w:val="000B6ABE"/>
    <w:rsid w:val="000B6ADB"/>
    <w:rsid w:val="000B6D31"/>
    <w:rsid w:val="000B6EE5"/>
    <w:rsid w:val="000B71D5"/>
    <w:rsid w:val="000C0750"/>
    <w:rsid w:val="000C0956"/>
    <w:rsid w:val="000C0F08"/>
    <w:rsid w:val="000C1592"/>
    <w:rsid w:val="000C305A"/>
    <w:rsid w:val="000C38C2"/>
    <w:rsid w:val="000C3AE4"/>
    <w:rsid w:val="000C3E24"/>
    <w:rsid w:val="000C40E2"/>
    <w:rsid w:val="000C5060"/>
    <w:rsid w:val="000C5487"/>
    <w:rsid w:val="000C5755"/>
    <w:rsid w:val="000C651E"/>
    <w:rsid w:val="000C6E9D"/>
    <w:rsid w:val="000C7653"/>
    <w:rsid w:val="000C7971"/>
    <w:rsid w:val="000C7A4F"/>
    <w:rsid w:val="000D0183"/>
    <w:rsid w:val="000D0997"/>
    <w:rsid w:val="000D0D75"/>
    <w:rsid w:val="000D1753"/>
    <w:rsid w:val="000D23B7"/>
    <w:rsid w:val="000D3D2D"/>
    <w:rsid w:val="000D3DB2"/>
    <w:rsid w:val="000D457F"/>
    <w:rsid w:val="000D4B72"/>
    <w:rsid w:val="000D52B8"/>
    <w:rsid w:val="000D5478"/>
    <w:rsid w:val="000D5829"/>
    <w:rsid w:val="000D5A0C"/>
    <w:rsid w:val="000D601E"/>
    <w:rsid w:val="000D6F67"/>
    <w:rsid w:val="000D70E5"/>
    <w:rsid w:val="000D7AF9"/>
    <w:rsid w:val="000D7B18"/>
    <w:rsid w:val="000E0DE0"/>
    <w:rsid w:val="000E1418"/>
    <w:rsid w:val="000E16A4"/>
    <w:rsid w:val="000E1E8D"/>
    <w:rsid w:val="000E32A3"/>
    <w:rsid w:val="000E3324"/>
    <w:rsid w:val="000E3479"/>
    <w:rsid w:val="000E4301"/>
    <w:rsid w:val="000E4399"/>
    <w:rsid w:val="000E43F6"/>
    <w:rsid w:val="000E4A0B"/>
    <w:rsid w:val="000E4BDB"/>
    <w:rsid w:val="000E4F1C"/>
    <w:rsid w:val="000E5193"/>
    <w:rsid w:val="000E56B7"/>
    <w:rsid w:val="000E5DFD"/>
    <w:rsid w:val="000E61F9"/>
    <w:rsid w:val="000E6273"/>
    <w:rsid w:val="000E6294"/>
    <w:rsid w:val="000E62FB"/>
    <w:rsid w:val="000E7828"/>
    <w:rsid w:val="000E7967"/>
    <w:rsid w:val="000F0300"/>
    <w:rsid w:val="000F21D6"/>
    <w:rsid w:val="000F33A2"/>
    <w:rsid w:val="000F37C1"/>
    <w:rsid w:val="000F3A75"/>
    <w:rsid w:val="000F3D9F"/>
    <w:rsid w:val="000F4774"/>
    <w:rsid w:val="000F4D33"/>
    <w:rsid w:val="000F4FE5"/>
    <w:rsid w:val="000F51D2"/>
    <w:rsid w:val="000F5EE5"/>
    <w:rsid w:val="000F60E4"/>
    <w:rsid w:val="000F619B"/>
    <w:rsid w:val="000F7E85"/>
    <w:rsid w:val="001008CC"/>
    <w:rsid w:val="00100E3E"/>
    <w:rsid w:val="0010187E"/>
    <w:rsid w:val="00102325"/>
    <w:rsid w:val="00102506"/>
    <w:rsid w:val="00102526"/>
    <w:rsid w:val="001028C5"/>
    <w:rsid w:val="001032D0"/>
    <w:rsid w:val="001058DE"/>
    <w:rsid w:val="00105972"/>
    <w:rsid w:val="00105FE4"/>
    <w:rsid w:val="0010699D"/>
    <w:rsid w:val="00107491"/>
    <w:rsid w:val="00107A6C"/>
    <w:rsid w:val="00110124"/>
    <w:rsid w:val="001103A8"/>
    <w:rsid w:val="00110474"/>
    <w:rsid w:val="00110A7A"/>
    <w:rsid w:val="00111C1D"/>
    <w:rsid w:val="00112D00"/>
    <w:rsid w:val="00113129"/>
    <w:rsid w:val="001138F4"/>
    <w:rsid w:val="0011390F"/>
    <w:rsid w:val="00113AB4"/>
    <w:rsid w:val="00113C77"/>
    <w:rsid w:val="00114CAB"/>
    <w:rsid w:val="00115C79"/>
    <w:rsid w:val="00116723"/>
    <w:rsid w:val="00117972"/>
    <w:rsid w:val="0012031F"/>
    <w:rsid w:val="00120D55"/>
    <w:rsid w:val="0012137B"/>
    <w:rsid w:val="001217C6"/>
    <w:rsid w:val="001219E9"/>
    <w:rsid w:val="00121DED"/>
    <w:rsid w:val="001222AC"/>
    <w:rsid w:val="001228A6"/>
    <w:rsid w:val="001234AE"/>
    <w:rsid w:val="001234F5"/>
    <w:rsid w:val="00123653"/>
    <w:rsid w:val="001237F6"/>
    <w:rsid w:val="00123A03"/>
    <w:rsid w:val="00124253"/>
    <w:rsid w:val="0012444C"/>
    <w:rsid w:val="00124752"/>
    <w:rsid w:val="00124846"/>
    <w:rsid w:val="00124F92"/>
    <w:rsid w:val="00126191"/>
    <w:rsid w:val="00126CF8"/>
    <w:rsid w:val="00126D2E"/>
    <w:rsid w:val="0012703E"/>
    <w:rsid w:val="00127ABD"/>
    <w:rsid w:val="001303C5"/>
    <w:rsid w:val="0013083C"/>
    <w:rsid w:val="00130EC9"/>
    <w:rsid w:val="0013178D"/>
    <w:rsid w:val="00131A53"/>
    <w:rsid w:val="001320CA"/>
    <w:rsid w:val="001324AD"/>
    <w:rsid w:val="00132E35"/>
    <w:rsid w:val="001342E8"/>
    <w:rsid w:val="00135236"/>
    <w:rsid w:val="00135F55"/>
    <w:rsid w:val="001367DF"/>
    <w:rsid w:val="00136D16"/>
    <w:rsid w:val="0013709E"/>
    <w:rsid w:val="00137AF5"/>
    <w:rsid w:val="00140D8F"/>
    <w:rsid w:val="001412F6"/>
    <w:rsid w:val="001414F8"/>
    <w:rsid w:val="00141F9D"/>
    <w:rsid w:val="00142235"/>
    <w:rsid w:val="0014245D"/>
    <w:rsid w:val="001424F5"/>
    <w:rsid w:val="00143422"/>
    <w:rsid w:val="00143D0F"/>
    <w:rsid w:val="001441BA"/>
    <w:rsid w:val="00144C50"/>
    <w:rsid w:val="00144D09"/>
    <w:rsid w:val="00145444"/>
    <w:rsid w:val="001455DE"/>
    <w:rsid w:val="00145B27"/>
    <w:rsid w:val="001468C6"/>
    <w:rsid w:val="00146DC0"/>
    <w:rsid w:val="001474AF"/>
    <w:rsid w:val="00147915"/>
    <w:rsid w:val="00150D3A"/>
    <w:rsid w:val="0015246E"/>
    <w:rsid w:val="00152870"/>
    <w:rsid w:val="00152B2F"/>
    <w:rsid w:val="00152C33"/>
    <w:rsid w:val="001540BA"/>
    <w:rsid w:val="0015416D"/>
    <w:rsid w:val="0015440B"/>
    <w:rsid w:val="00154C67"/>
    <w:rsid w:val="00154F60"/>
    <w:rsid w:val="00155759"/>
    <w:rsid w:val="00155BDF"/>
    <w:rsid w:val="00155CD6"/>
    <w:rsid w:val="001566A1"/>
    <w:rsid w:val="00156CA5"/>
    <w:rsid w:val="00156E10"/>
    <w:rsid w:val="001571CC"/>
    <w:rsid w:val="001602BB"/>
    <w:rsid w:val="001606DE"/>
    <w:rsid w:val="00160F6E"/>
    <w:rsid w:val="00161138"/>
    <w:rsid w:val="00161F1C"/>
    <w:rsid w:val="0016201F"/>
    <w:rsid w:val="001625EB"/>
    <w:rsid w:val="00163031"/>
    <w:rsid w:val="00163533"/>
    <w:rsid w:val="00163AD9"/>
    <w:rsid w:val="001646E6"/>
    <w:rsid w:val="00164837"/>
    <w:rsid w:val="00164AEC"/>
    <w:rsid w:val="00164D5C"/>
    <w:rsid w:val="001654DF"/>
    <w:rsid w:val="001655AC"/>
    <w:rsid w:val="00165926"/>
    <w:rsid w:val="00165AD3"/>
    <w:rsid w:val="00165ADC"/>
    <w:rsid w:val="00165F77"/>
    <w:rsid w:val="00166B50"/>
    <w:rsid w:val="00170184"/>
    <w:rsid w:val="00170306"/>
    <w:rsid w:val="001706E1"/>
    <w:rsid w:val="00170A84"/>
    <w:rsid w:val="00170E56"/>
    <w:rsid w:val="0017163C"/>
    <w:rsid w:val="0017192D"/>
    <w:rsid w:val="00172EE8"/>
    <w:rsid w:val="00173EBC"/>
    <w:rsid w:val="001742AC"/>
    <w:rsid w:val="001747B7"/>
    <w:rsid w:val="0017574E"/>
    <w:rsid w:val="00177016"/>
    <w:rsid w:val="00177A84"/>
    <w:rsid w:val="00177C20"/>
    <w:rsid w:val="001813A2"/>
    <w:rsid w:val="001817DB"/>
    <w:rsid w:val="00181E65"/>
    <w:rsid w:val="0018206E"/>
    <w:rsid w:val="00183A20"/>
    <w:rsid w:val="00183C2E"/>
    <w:rsid w:val="00183D04"/>
    <w:rsid w:val="00183FB3"/>
    <w:rsid w:val="0018429E"/>
    <w:rsid w:val="00184690"/>
    <w:rsid w:val="00185052"/>
    <w:rsid w:val="001866CB"/>
    <w:rsid w:val="0018783F"/>
    <w:rsid w:val="0018784C"/>
    <w:rsid w:val="00187EAC"/>
    <w:rsid w:val="0019147E"/>
    <w:rsid w:val="00191D8B"/>
    <w:rsid w:val="0019200D"/>
    <w:rsid w:val="001928FC"/>
    <w:rsid w:val="00193306"/>
    <w:rsid w:val="00193A94"/>
    <w:rsid w:val="001948BD"/>
    <w:rsid w:val="001949AA"/>
    <w:rsid w:val="00194CFB"/>
    <w:rsid w:val="00195121"/>
    <w:rsid w:val="00195190"/>
    <w:rsid w:val="001957C3"/>
    <w:rsid w:val="00195874"/>
    <w:rsid w:val="00195BA1"/>
    <w:rsid w:val="00195BCF"/>
    <w:rsid w:val="001960DE"/>
    <w:rsid w:val="00196AB0"/>
    <w:rsid w:val="001A027F"/>
    <w:rsid w:val="001A16FE"/>
    <w:rsid w:val="001A2C7C"/>
    <w:rsid w:val="001A2D99"/>
    <w:rsid w:val="001A3063"/>
    <w:rsid w:val="001A40EF"/>
    <w:rsid w:val="001A487C"/>
    <w:rsid w:val="001A5829"/>
    <w:rsid w:val="001A5B5C"/>
    <w:rsid w:val="001A6A84"/>
    <w:rsid w:val="001A6A8B"/>
    <w:rsid w:val="001A6A94"/>
    <w:rsid w:val="001A765D"/>
    <w:rsid w:val="001B0ED2"/>
    <w:rsid w:val="001B1606"/>
    <w:rsid w:val="001B2548"/>
    <w:rsid w:val="001B25D1"/>
    <w:rsid w:val="001B27F8"/>
    <w:rsid w:val="001B29AB"/>
    <w:rsid w:val="001B2A81"/>
    <w:rsid w:val="001B2ECB"/>
    <w:rsid w:val="001B359F"/>
    <w:rsid w:val="001B42B6"/>
    <w:rsid w:val="001B4AA0"/>
    <w:rsid w:val="001B758C"/>
    <w:rsid w:val="001B7DAF"/>
    <w:rsid w:val="001C0B9E"/>
    <w:rsid w:val="001C1095"/>
    <w:rsid w:val="001C1199"/>
    <w:rsid w:val="001C176F"/>
    <w:rsid w:val="001C1F25"/>
    <w:rsid w:val="001C29F6"/>
    <w:rsid w:val="001C2A41"/>
    <w:rsid w:val="001C2E38"/>
    <w:rsid w:val="001C32BF"/>
    <w:rsid w:val="001C59F9"/>
    <w:rsid w:val="001C5C9A"/>
    <w:rsid w:val="001C5CBA"/>
    <w:rsid w:val="001C6497"/>
    <w:rsid w:val="001C6751"/>
    <w:rsid w:val="001C7459"/>
    <w:rsid w:val="001C786E"/>
    <w:rsid w:val="001C7F51"/>
    <w:rsid w:val="001D005C"/>
    <w:rsid w:val="001D060C"/>
    <w:rsid w:val="001D089F"/>
    <w:rsid w:val="001D14F2"/>
    <w:rsid w:val="001D1948"/>
    <w:rsid w:val="001D2AE2"/>
    <w:rsid w:val="001D2D95"/>
    <w:rsid w:val="001D3741"/>
    <w:rsid w:val="001D376F"/>
    <w:rsid w:val="001D3B6D"/>
    <w:rsid w:val="001D4118"/>
    <w:rsid w:val="001D4240"/>
    <w:rsid w:val="001D4A3A"/>
    <w:rsid w:val="001D4F17"/>
    <w:rsid w:val="001D5044"/>
    <w:rsid w:val="001D55D3"/>
    <w:rsid w:val="001D6307"/>
    <w:rsid w:val="001D65A6"/>
    <w:rsid w:val="001D675D"/>
    <w:rsid w:val="001D73B2"/>
    <w:rsid w:val="001D783C"/>
    <w:rsid w:val="001D7CBD"/>
    <w:rsid w:val="001E02E4"/>
    <w:rsid w:val="001E0E91"/>
    <w:rsid w:val="001E1969"/>
    <w:rsid w:val="001E1B57"/>
    <w:rsid w:val="001E1FA6"/>
    <w:rsid w:val="001E25BA"/>
    <w:rsid w:val="001E32FE"/>
    <w:rsid w:val="001E44C5"/>
    <w:rsid w:val="001E45F0"/>
    <w:rsid w:val="001E48AC"/>
    <w:rsid w:val="001E5C8F"/>
    <w:rsid w:val="001E6110"/>
    <w:rsid w:val="001E700C"/>
    <w:rsid w:val="001E79E0"/>
    <w:rsid w:val="001E7FEC"/>
    <w:rsid w:val="001F002C"/>
    <w:rsid w:val="001F09D7"/>
    <w:rsid w:val="001F0CF1"/>
    <w:rsid w:val="001F0E53"/>
    <w:rsid w:val="001F10B0"/>
    <w:rsid w:val="001F223F"/>
    <w:rsid w:val="001F2707"/>
    <w:rsid w:val="001F2840"/>
    <w:rsid w:val="001F2C22"/>
    <w:rsid w:val="001F2C61"/>
    <w:rsid w:val="001F2F9C"/>
    <w:rsid w:val="001F31EF"/>
    <w:rsid w:val="001F3890"/>
    <w:rsid w:val="001F3E42"/>
    <w:rsid w:val="001F41DA"/>
    <w:rsid w:val="001F43E2"/>
    <w:rsid w:val="001F58CE"/>
    <w:rsid w:val="001F5A3A"/>
    <w:rsid w:val="001F6967"/>
    <w:rsid w:val="001F7595"/>
    <w:rsid w:val="001F7711"/>
    <w:rsid w:val="00200AC5"/>
    <w:rsid w:val="00200E3C"/>
    <w:rsid w:val="00201107"/>
    <w:rsid w:val="0020215C"/>
    <w:rsid w:val="00202481"/>
    <w:rsid w:val="002026A1"/>
    <w:rsid w:val="0020294A"/>
    <w:rsid w:val="00202983"/>
    <w:rsid w:val="00203747"/>
    <w:rsid w:val="00204362"/>
    <w:rsid w:val="00204627"/>
    <w:rsid w:val="002054F8"/>
    <w:rsid w:val="00205560"/>
    <w:rsid w:val="0020565C"/>
    <w:rsid w:val="00205F38"/>
    <w:rsid w:val="002061F3"/>
    <w:rsid w:val="002067C4"/>
    <w:rsid w:val="00206E07"/>
    <w:rsid w:val="002074E0"/>
    <w:rsid w:val="00207A76"/>
    <w:rsid w:val="00207C4C"/>
    <w:rsid w:val="00207CF3"/>
    <w:rsid w:val="00207EDB"/>
    <w:rsid w:val="0021033E"/>
    <w:rsid w:val="00210D43"/>
    <w:rsid w:val="002116BE"/>
    <w:rsid w:val="00211E7C"/>
    <w:rsid w:val="0021223B"/>
    <w:rsid w:val="002124BC"/>
    <w:rsid w:val="002128EE"/>
    <w:rsid w:val="002138D4"/>
    <w:rsid w:val="00216635"/>
    <w:rsid w:val="002166CF"/>
    <w:rsid w:val="00216CDE"/>
    <w:rsid w:val="00217FF1"/>
    <w:rsid w:val="002213B6"/>
    <w:rsid w:val="00221A43"/>
    <w:rsid w:val="00221F20"/>
    <w:rsid w:val="00222120"/>
    <w:rsid w:val="0022226C"/>
    <w:rsid w:val="0022237F"/>
    <w:rsid w:val="002224DA"/>
    <w:rsid w:val="00222E53"/>
    <w:rsid w:val="00223459"/>
    <w:rsid w:val="002235E8"/>
    <w:rsid w:val="00223C43"/>
    <w:rsid w:val="00224613"/>
    <w:rsid w:val="00224807"/>
    <w:rsid w:val="00224971"/>
    <w:rsid w:val="0022497C"/>
    <w:rsid w:val="00224B90"/>
    <w:rsid w:val="00224DE4"/>
    <w:rsid w:val="00225025"/>
    <w:rsid w:val="002253FE"/>
    <w:rsid w:val="002257EF"/>
    <w:rsid w:val="00225BE0"/>
    <w:rsid w:val="00225CD4"/>
    <w:rsid w:val="00226350"/>
    <w:rsid w:val="00226AC1"/>
    <w:rsid w:val="00226D21"/>
    <w:rsid w:val="0022716F"/>
    <w:rsid w:val="002273DF"/>
    <w:rsid w:val="00230F21"/>
    <w:rsid w:val="002313CE"/>
    <w:rsid w:val="00232246"/>
    <w:rsid w:val="002330A5"/>
    <w:rsid w:val="002330AC"/>
    <w:rsid w:val="00233681"/>
    <w:rsid w:val="00233A1D"/>
    <w:rsid w:val="00233B40"/>
    <w:rsid w:val="00235C1A"/>
    <w:rsid w:val="002367CF"/>
    <w:rsid w:val="0023698D"/>
    <w:rsid w:val="00236C0A"/>
    <w:rsid w:val="00236E9C"/>
    <w:rsid w:val="002372DD"/>
    <w:rsid w:val="002375F9"/>
    <w:rsid w:val="00237895"/>
    <w:rsid w:val="00237902"/>
    <w:rsid w:val="00237B44"/>
    <w:rsid w:val="0024032C"/>
    <w:rsid w:val="002407CF"/>
    <w:rsid w:val="00240A4D"/>
    <w:rsid w:val="00241364"/>
    <w:rsid w:val="00243CB1"/>
    <w:rsid w:val="0024442E"/>
    <w:rsid w:val="002444E3"/>
    <w:rsid w:val="002449FC"/>
    <w:rsid w:val="00244B49"/>
    <w:rsid w:val="00244CC5"/>
    <w:rsid w:val="0024527C"/>
    <w:rsid w:val="0024533A"/>
    <w:rsid w:val="0024598E"/>
    <w:rsid w:val="002459EC"/>
    <w:rsid w:val="00245C89"/>
    <w:rsid w:val="00247894"/>
    <w:rsid w:val="00247948"/>
    <w:rsid w:val="00250064"/>
    <w:rsid w:val="00250209"/>
    <w:rsid w:val="00251850"/>
    <w:rsid w:val="00251A22"/>
    <w:rsid w:val="00251A75"/>
    <w:rsid w:val="00251AF4"/>
    <w:rsid w:val="00252C6C"/>
    <w:rsid w:val="00253466"/>
    <w:rsid w:val="00253CAC"/>
    <w:rsid w:val="002547BA"/>
    <w:rsid w:val="00255E43"/>
    <w:rsid w:val="002561D3"/>
    <w:rsid w:val="00256564"/>
    <w:rsid w:val="00256E15"/>
    <w:rsid w:val="002572DD"/>
    <w:rsid w:val="00257642"/>
    <w:rsid w:val="00257A64"/>
    <w:rsid w:val="00257DA6"/>
    <w:rsid w:val="002609EE"/>
    <w:rsid w:val="00260B17"/>
    <w:rsid w:val="00260C30"/>
    <w:rsid w:val="00261398"/>
    <w:rsid w:val="00261446"/>
    <w:rsid w:val="0026145D"/>
    <w:rsid w:val="002617A2"/>
    <w:rsid w:val="002623E6"/>
    <w:rsid w:val="00262D2C"/>
    <w:rsid w:val="00263681"/>
    <w:rsid w:val="00263CED"/>
    <w:rsid w:val="002640D3"/>
    <w:rsid w:val="00266794"/>
    <w:rsid w:val="00266A46"/>
    <w:rsid w:val="00267795"/>
    <w:rsid w:val="00267FA4"/>
    <w:rsid w:val="002708ED"/>
    <w:rsid w:val="00270C3E"/>
    <w:rsid w:val="00270C5E"/>
    <w:rsid w:val="002717C7"/>
    <w:rsid w:val="002723E2"/>
    <w:rsid w:val="002734DA"/>
    <w:rsid w:val="00273783"/>
    <w:rsid w:val="00274855"/>
    <w:rsid w:val="00274A8C"/>
    <w:rsid w:val="00275DE2"/>
    <w:rsid w:val="00275EE0"/>
    <w:rsid w:val="00276D4D"/>
    <w:rsid w:val="0027768E"/>
    <w:rsid w:val="00277A22"/>
    <w:rsid w:val="00280048"/>
    <w:rsid w:val="00280AB3"/>
    <w:rsid w:val="00281081"/>
    <w:rsid w:val="00281F39"/>
    <w:rsid w:val="002823FB"/>
    <w:rsid w:val="0028285A"/>
    <w:rsid w:val="00283342"/>
    <w:rsid w:val="00283E90"/>
    <w:rsid w:val="00283FC1"/>
    <w:rsid w:val="002848B6"/>
    <w:rsid w:val="002848FC"/>
    <w:rsid w:val="00285074"/>
    <w:rsid w:val="002863AD"/>
    <w:rsid w:val="002868CA"/>
    <w:rsid w:val="00287E53"/>
    <w:rsid w:val="00290D9D"/>
    <w:rsid w:val="00290E0D"/>
    <w:rsid w:val="00294AED"/>
    <w:rsid w:val="00294BED"/>
    <w:rsid w:val="00295D6B"/>
    <w:rsid w:val="00295DA0"/>
    <w:rsid w:val="0029638F"/>
    <w:rsid w:val="002978FF"/>
    <w:rsid w:val="00297C28"/>
    <w:rsid w:val="00297EB5"/>
    <w:rsid w:val="002A0DCD"/>
    <w:rsid w:val="002A18C9"/>
    <w:rsid w:val="002A1BA4"/>
    <w:rsid w:val="002A1E9A"/>
    <w:rsid w:val="002A3EF6"/>
    <w:rsid w:val="002A4619"/>
    <w:rsid w:val="002A4643"/>
    <w:rsid w:val="002A5356"/>
    <w:rsid w:val="002A58B6"/>
    <w:rsid w:val="002A598C"/>
    <w:rsid w:val="002A641A"/>
    <w:rsid w:val="002A675B"/>
    <w:rsid w:val="002A68B6"/>
    <w:rsid w:val="002A6A91"/>
    <w:rsid w:val="002A7162"/>
    <w:rsid w:val="002A7685"/>
    <w:rsid w:val="002A7EFA"/>
    <w:rsid w:val="002B1190"/>
    <w:rsid w:val="002B126E"/>
    <w:rsid w:val="002B1445"/>
    <w:rsid w:val="002B1840"/>
    <w:rsid w:val="002B2598"/>
    <w:rsid w:val="002B2611"/>
    <w:rsid w:val="002B2963"/>
    <w:rsid w:val="002B427B"/>
    <w:rsid w:val="002B492E"/>
    <w:rsid w:val="002B49C3"/>
    <w:rsid w:val="002B54C0"/>
    <w:rsid w:val="002B609C"/>
    <w:rsid w:val="002B6B14"/>
    <w:rsid w:val="002B6CD0"/>
    <w:rsid w:val="002B707B"/>
    <w:rsid w:val="002B7DAC"/>
    <w:rsid w:val="002B7DE9"/>
    <w:rsid w:val="002C007E"/>
    <w:rsid w:val="002C0907"/>
    <w:rsid w:val="002C0BE4"/>
    <w:rsid w:val="002C1962"/>
    <w:rsid w:val="002C1F2B"/>
    <w:rsid w:val="002C37D3"/>
    <w:rsid w:val="002C4359"/>
    <w:rsid w:val="002C4461"/>
    <w:rsid w:val="002C49DB"/>
    <w:rsid w:val="002C4F44"/>
    <w:rsid w:val="002C56BC"/>
    <w:rsid w:val="002C5846"/>
    <w:rsid w:val="002C5F9B"/>
    <w:rsid w:val="002C6D06"/>
    <w:rsid w:val="002C743C"/>
    <w:rsid w:val="002D0894"/>
    <w:rsid w:val="002D11E9"/>
    <w:rsid w:val="002D1B60"/>
    <w:rsid w:val="002D1BB8"/>
    <w:rsid w:val="002D205F"/>
    <w:rsid w:val="002D2589"/>
    <w:rsid w:val="002D2B11"/>
    <w:rsid w:val="002D428C"/>
    <w:rsid w:val="002D4CE6"/>
    <w:rsid w:val="002D65C4"/>
    <w:rsid w:val="002D6CA2"/>
    <w:rsid w:val="002D777A"/>
    <w:rsid w:val="002D7C9A"/>
    <w:rsid w:val="002D7D98"/>
    <w:rsid w:val="002E0277"/>
    <w:rsid w:val="002E0D6F"/>
    <w:rsid w:val="002E1539"/>
    <w:rsid w:val="002E26A3"/>
    <w:rsid w:val="002E2724"/>
    <w:rsid w:val="002E2CC8"/>
    <w:rsid w:val="002E2D92"/>
    <w:rsid w:val="002E2F46"/>
    <w:rsid w:val="002E3156"/>
    <w:rsid w:val="002E348D"/>
    <w:rsid w:val="002E486B"/>
    <w:rsid w:val="002E4888"/>
    <w:rsid w:val="002E4A25"/>
    <w:rsid w:val="002E4A86"/>
    <w:rsid w:val="002E4C94"/>
    <w:rsid w:val="002E50A0"/>
    <w:rsid w:val="002E722A"/>
    <w:rsid w:val="002E7373"/>
    <w:rsid w:val="002E7570"/>
    <w:rsid w:val="002E7688"/>
    <w:rsid w:val="002F00B2"/>
    <w:rsid w:val="002F0A7B"/>
    <w:rsid w:val="002F0E1F"/>
    <w:rsid w:val="002F13A1"/>
    <w:rsid w:val="002F146E"/>
    <w:rsid w:val="002F16F8"/>
    <w:rsid w:val="002F2D73"/>
    <w:rsid w:val="002F3238"/>
    <w:rsid w:val="002F369B"/>
    <w:rsid w:val="002F36E7"/>
    <w:rsid w:val="002F3EC0"/>
    <w:rsid w:val="002F3F88"/>
    <w:rsid w:val="002F4BB4"/>
    <w:rsid w:val="002F4BF8"/>
    <w:rsid w:val="002F4F89"/>
    <w:rsid w:val="002F6710"/>
    <w:rsid w:val="002F6B40"/>
    <w:rsid w:val="002F6E81"/>
    <w:rsid w:val="002F6FD6"/>
    <w:rsid w:val="002F7766"/>
    <w:rsid w:val="002F7A95"/>
    <w:rsid w:val="003000C0"/>
    <w:rsid w:val="00300311"/>
    <w:rsid w:val="003004D8"/>
    <w:rsid w:val="00300E7D"/>
    <w:rsid w:val="00301408"/>
    <w:rsid w:val="00302404"/>
    <w:rsid w:val="00302602"/>
    <w:rsid w:val="0030299C"/>
    <w:rsid w:val="00302AD7"/>
    <w:rsid w:val="00302BF1"/>
    <w:rsid w:val="00302C1E"/>
    <w:rsid w:val="00303854"/>
    <w:rsid w:val="00303D0D"/>
    <w:rsid w:val="00305360"/>
    <w:rsid w:val="00305C1E"/>
    <w:rsid w:val="00306541"/>
    <w:rsid w:val="00306857"/>
    <w:rsid w:val="003079F8"/>
    <w:rsid w:val="003102B5"/>
    <w:rsid w:val="00310B49"/>
    <w:rsid w:val="00310E9F"/>
    <w:rsid w:val="00311F0A"/>
    <w:rsid w:val="00311F14"/>
    <w:rsid w:val="00312067"/>
    <w:rsid w:val="00312248"/>
    <w:rsid w:val="0031253F"/>
    <w:rsid w:val="00312C3E"/>
    <w:rsid w:val="003139CA"/>
    <w:rsid w:val="00313A66"/>
    <w:rsid w:val="00314109"/>
    <w:rsid w:val="00314D5E"/>
    <w:rsid w:val="00315112"/>
    <w:rsid w:val="00316585"/>
    <w:rsid w:val="00316720"/>
    <w:rsid w:val="00316CF8"/>
    <w:rsid w:val="00317724"/>
    <w:rsid w:val="00317D7D"/>
    <w:rsid w:val="00317E2B"/>
    <w:rsid w:val="00320577"/>
    <w:rsid w:val="00320CD3"/>
    <w:rsid w:val="00320F2E"/>
    <w:rsid w:val="00320FD6"/>
    <w:rsid w:val="003212D3"/>
    <w:rsid w:val="003216D0"/>
    <w:rsid w:val="00321D75"/>
    <w:rsid w:val="0032285A"/>
    <w:rsid w:val="00322E4E"/>
    <w:rsid w:val="00322FDD"/>
    <w:rsid w:val="003235FD"/>
    <w:rsid w:val="003238D8"/>
    <w:rsid w:val="00323DD0"/>
    <w:rsid w:val="00324019"/>
    <w:rsid w:val="0032427D"/>
    <w:rsid w:val="00324350"/>
    <w:rsid w:val="0032469D"/>
    <w:rsid w:val="00324CC4"/>
    <w:rsid w:val="00326805"/>
    <w:rsid w:val="003268FC"/>
    <w:rsid w:val="0032699F"/>
    <w:rsid w:val="00326D20"/>
    <w:rsid w:val="00327DDC"/>
    <w:rsid w:val="00327E24"/>
    <w:rsid w:val="0033094E"/>
    <w:rsid w:val="00330C92"/>
    <w:rsid w:val="00330CA8"/>
    <w:rsid w:val="00330E77"/>
    <w:rsid w:val="00330EBA"/>
    <w:rsid w:val="00330EE1"/>
    <w:rsid w:val="0033130C"/>
    <w:rsid w:val="00331BF7"/>
    <w:rsid w:val="00331C0C"/>
    <w:rsid w:val="00332416"/>
    <w:rsid w:val="00332534"/>
    <w:rsid w:val="003329A0"/>
    <w:rsid w:val="0033454C"/>
    <w:rsid w:val="00335092"/>
    <w:rsid w:val="0033554D"/>
    <w:rsid w:val="003357ED"/>
    <w:rsid w:val="00335D2E"/>
    <w:rsid w:val="00336DCE"/>
    <w:rsid w:val="0033766E"/>
    <w:rsid w:val="00341000"/>
    <w:rsid w:val="00341404"/>
    <w:rsid w:val="00341690"/>
    <w:rsid w:val="00342193"/>
    <w:rsid w:val="0034262D"/>
    <w:rsid w:val="003429CB"/>
    <w:rsid w:val="003429E3"/>
    <w:rsid w:val="00343845"/>
    <w:rsid w:val="00344C68"/>
    <w:rsid w:val="0034574B"/>
    <w:rsid w:val="003457E2"/>
    <w:rsid w:val="00345F20"/>
    <w:rsid w:val="00346905"/>
    <w:rsid w:val="00347105"/>
    <w:rsid w:val="00350900"/>
    <w:rsid w:val="00350CE9"/>
    <w:rsid w:val="003517CD"/>
    <w:rsid w:val="00353188"/>
    <w:rsid w:val="0035360C"/>
    <w:rsid w:val="00354456"/>
    <w:rsid w:val="0035661A"/>
    <w:rsid w:val="003572EC"/>
    <w:rsid w:val="003575FA"/>
    <w:rsid w:val="00357DDD"/>
    <w:rsid w:val="0036007C"/>
    <w:rsid w:val="003609A9"/>
    <w:rsid w:val="0036178B"/>
    <w:rsid w:val="00361C18"/>
    <w:rsid w:val="00361DA0"/>
    <w:rsid w:val="0036201A"/>
    <w:rsid w:val="0036224D"/>
    <w:rsid w:val="00362615"/>
    <w:rsid w:val="00362EB8"/>
    <w:rsid w:val="00363700"/>
    <w:rsid w:val="0036467F"/>
    <w:rsid w:val="00364879"/>
    <w:rsid w:val="0036594D"/>
    <w:rsid w:val="00365A41"/>
    <w:rsid w:val="00365D8B"/>
    <w:rsid w:val="00367541"/>
    <w:rsid w:val="00367910"/>
    <w:rsid w:val="0037001D"/>
    <w:rsid w:val="003709E8"/>
    <w:rsid w:val="003715C8"/>
    <w:rsid w:val="00371B3C"/>
    <w:rsid w:val="003723D6"/>
    <w:rsid w:val="003728D8"/>
    <w:rsid w:val="003728F4"/>
    <w:rsid w:val="00373168"/>
    <w:rsid w:val="003741AE"/>
    <w:rsid w:val="003742D6"/>
    <w:rsid w:val="003748FF"/>
    <w:rsid w:val="00374BF1"/>
    <w:rsid w:val="003767EA"/>
    <w:rsid w:val="00376B46"/>
    <w:rsid w:val="00376F1B"/>
    <w:rsid w:val="003774B6"/>
    <w:rsid w:val="003777D5"/>
    <w:rsid w:val="0038008D"/>
    <w:rsid w:val="003807BE"/>
    <w:rsid w:val="00380A16"/>
    <w:rsid w:val="00380F7D"/>
    <w:rsid w:val="003818FF"/>
    <w:rsid w:val="00382835"/>
    <w:rsid w:val="003828A9"/>
    <w:rsid w:val="00383734"/>
    <w:rsid w:val="00384174"/>
    <w:rsid w:val="00384D35"/>
    <w:rsid w:val="003854B0"/>
    <w:rsid w:val="0038612B"/>
    <w:rsid w:val="003903E9"/>
    <w:rsid w:val="00390A89"/>
    <w:rsid w:val="00390B5F"/>
    <w:rsid w:val="00390CE5"/>
    <w:rsid w:val="003911ED"/>
    <w:rsid w:val="00391696"/>
    <w:rsid w:val="00391938"/>
    <w:rsid w:val="00391A68"/>
    <w:rsid w:val="00391C5B"/>
    <w:rsid w:val="0039220D"/>
    <w:rsid w:val="003936B6"/>
    <w:rsid w:val="003940E4"/>
    <w:rsid w:val="00394680"/>
    <w:rsid w:val="00394A33"/>
    <w:rsid w:val="00394ED4"/>
    <w:rsid w:val="003950F9"/>
    <w:rsid w:val="00395433"/>
    <w:rsid w:val="003955B3"/>
    <w:rsid w:val="003959AD"/>
    <w:rsid w:val="00395C98"/>
    <w:rsid w:val="00396085"/>
    <w:rsid w:val="00396300"/>
    <w:rsid w:val="00396305"/>
    <w:rsid w:val="00396713"/>
    <w:rsid w:val="0039686B"/>
    <w:rsid w:val="00396EED"/>
    <w:rsid w:val="003971B4"/>
    <w:rsid w:val="003A0B36"/>
    <w:rsid w:val="003A0D70"/>
    <w:rsid w:val="003A1713"/>
    <w:rsid w:val="003A1935"/>
    <w:rsid w:val="003A1B1F"/>
    <w:rsid w:val="003A341C"/>
    <w:rsid w:val="003A3CF9"/>
    <w:rsid w:val="003A3E5B"/>
    <w:rsid w:val="003A3F8B"/>
    <w:rsid w:val="003A4266"/>
    <w:rsid w:val="003A428C"/>
    <w:rsid w:val="003A4E2F"/>
    <w:rsid w:val="003A5A68"/>
    <w:rsid w:val="003A5B6E"/>
    <w:rsid w:val="003A6D60"/>
    <w:rsid w:val="003A6E57"/>
    <w:rsid w:val="003A7F6F"/>
    <w:rsid w:val="003A7F7D"/>
    <w:rsid w:val="003B0281"/>
    <w:rsid w:val="003B0375"/>
    <w:rsid w:val="003B0928"/>
    <w:rsid w:val="003B105C"/>
    <w:rsid w:val="003B1AA2"/>
    <w:rsid w:val="003B2317"/>
    <w:rsid w:val="003B24C6"/>
    <w:rsid w:val="003B36A6"/>
    <w:rsid w:val="003B3775"/>
    <w:rsid w:val="003B3B90"/>
    <w:rsid w:val="003B3EB4"/>
    <w:rsid w:val="003B4696"/>
    <w:rsid w:val="003B503A"/>
    <w:rsid w:val="003B533B"/>
    <w:rsid w:val="003B670E"/>
    <w:rsid w:val="003B68CB"/>
    <w:rsid w:val="003B6945"/>
    <w:rsid w:val="003C058C"/>
    <w:rsid w:val="003C0C1A"/>
    <w:rsid w:val="003C0D74"/>
    <w:rsid w:val="003C12EE"/>
    <w:rsid w:val="003C133A"/>
    <w:rsid w:val="003C18F8"/>
    <w:rsid w:val="003C21AD"/>
    <w:rsid w:val="003C24B8"/>
    <w:rsid w:val="003C2902"/>
    <w:rsid w:val="003C2A83"/>
    <w:rsid w:val="003C31BD"/>
    <w:rsid w:val="003C31D8"/>
    <w:rsid w:val="003C398F"/>
    <w:rsid w:val="003C4B1D"/>
    <w:rsid w:val="003C55E3"/>
    <w:rsid w:val="003C597C"/>
    <w:rsid w:val="003C6A97"/>
    <w:rsid w:val="003C6D00"/>
    <w:rsid w:val="003C7800"/>
    <w:rsid w:val="003C7B14"/>
    <w:rsid w:val="003D081C"/>
    <w:rsid w:val="003D08B9"/>
    <w:rsid w:val="003D21DF"/>
    <w:rsid w:val="003D2917"/>
    <w:rsid w:val="003D37D6"/>
    <w:rsid w:val="003D3C2C"/>
    <w:rsid w:val="003D3FAF"/>
    <w:rsid w:val="003D412C"/>
    <w:rsid w:val="003D41DC"/>
    <w:rsid w:val="003D4B05"/>
    <w:rsid w:val="003D4D3A"/>
    <w:rsid w:val="003D5152"/>
    <w:rsid w:val="003D51AF"/>
    <w:rsid w:val="003D546C"/>
    <w:rsid w:val="003D5AFE"/>
    <w:rsid w:val="003D5B47"/>
    <w:rsid w:val="003D5F38"/>
    <w:rsid w:val="003D604E"/>
    <w:rsid w:val="003D6BD7"/>
    <w:rsid w:val="003D6C96"/>
    <w:rsid w:val="003D7001"/>
    <w:rsid w:val="003E12A3"/>
    <w:rsid w:val="003E1535"/>
    <w:rsid w:val="003E2E75"/>
    <w:rsid w:val="003E426A"/>
    <w:rsid w:val="003E4D04"/>
    <w:rsid w:val="003E5078"/>
    <w:rsid w:val="003E53F4"/>
    <w:rsid w:val="003E56F7"/>
    <w:rsid w:val="003E6432"/>
    <w:rsid w:val="003E692A"/>
    <w:rsid w:val="003E693E"/>
    <w:rsid w:val="003E6958"/>
    <w:rsid w:val="003E6D4C"/>
    <w:rsid w:val="003E76BB"/>
    <w:rsid w:val="003E7A63"/>
    <w:rsid w:val="003E7CC5"/>
    <w:rsid w:val="003F0974"/>
    <w:rsid w:val="003F09BE"/>
    <w:rsid w:val="003F0AFE"/>
    <w:rsid w:val="003F0C46"/>
    <w:rsid w:val="003F2592"/>
    <w:rsid w:val="003F3410"/>
    <w:rsid w:val="003F349B"/>
    <w:rsid w:val="003F3A9F"/>
    <w:rsid w:val="003F3C29"/>
    <w:rsid w:val="003F3EBF"/>
    <w:rsid w:val="003F5889"/>
    <w:rsid w:val="003F68F0"/>
    <w:rsid w:val="003F69C8"/>
    <w:rsid w:val="003F74B6"/>
    <w:rsid w:val="003F7558"/>
    <w:rsid w:val="003F758C"/>
    <w:rsid w:val="003F75C2"/>
    <w:rsid w:val="003F7BC8"/>
    <w:rsid w:val="004000C1"/>
    <w:rsid w:val="004000CB"/>
    <w:rsid w:val="004006E6"/>
    <w:rsid w:val="00400901"/>
    <w:rsid w:val="00401B67"/>
    <w:rsid w:val="00401D9C"/>
    <w:rsid w:val="00401E5A"/>
    <w:rsid w:val="0040200B"/>
    <w:rsid w:val="004021C8"/>
    <w:rsid w:val="00403112"/>
    <w:rsid w:val="00403B8B"/>
    <w:rsid w:val="00404801"/>
    <w:rsid w:val="00404907"/>
    <w:rsid w:val="00404CBB"/>
    <w:rsid w:val="0040619F"/>
    <w:rsid w:val="00406474"/>
    <w:rsid w:val="00406B9E"/>
    <w:rsid w:val="00407158"/>
    <w:rsid w:val="0040715F"/>
    <w:rsid w:val="00407567"/>
    <w:rsid w:val="004075F8"/>
    <w:rsid w:val="004109B4"/>
    <w:rsid w:val="00410D2A"/>
    <w:rsid w:val="00411624"/>
    <w:rsid w:val="00411C6C"/>
    <w:rsid w:val="00412AED"/>
    <w:rsid w:val="004139A3"/>
    <w:rsid w:val="004139B5"/>
    <w:rsid w:val="004141FD"/>
    <w:rsid w:val="00414594"/>
    <w:rsid w:val="004145D8"/>
    <w:rsid w:val="00415B9A"/>
    <w:rsid w:val="00416D3F"/>
    <w:rsid w:val="004175DA"/>
    <w:rsid w:val="00417C42"/>
    <w:rsid w:val="00417F34"/>
    <w:rsid w:val="004213FD"/>
    <w:rsid w:val="00421624"/>
    <w:rsid w:val="0042231A"/>
    <w:rsid w:val="00423074"/>
    <w:rsid w:val="004232CC"/>
    <w:rsid w:val="0042380C"/>
    <w:rsid w:val="004238AD"/>
    <w:rsid w:val="00423A11"/>
    <w:rsid w:val="00423F5F"/>
    <w:rsid w:val="00423FA9"/>
    <w:rsid w:val="00424032"/>
    <w:rsid w:val="004240E8"/>
    <w:rsid w:val="00424A34"/>
    <w:rsid w:val="00424FFF"/>
    <w:rsid w:val="004259B1"/>
    <w:rsid w:val="00425A18"/>
    <w:rsid w:val="00426E07"/>
    <w:rsid w:val="00427AAA"/>
    <w:rsid w:val="00427F6D"/>
    <w:rsid w:val="00430064"/>
    <w:rsid w:val="00430622"/>
    <w:rsid w:val="00430C97"/>
    <w:rsid w:val="00430E08"/>
    <w:rsid w:val="00431353"/>
    <w:rsid w:val="00431623"/>
    <w:rsid w:val="004317FF"/>
    <w:rsid w:val="00431A5E"/>
    <w:rsid w:val="00431D33"/>
    <w:rsid w:val="00432569"/>
    <w:rsid w:val="00432AEE"/>
    <w:rsid w:val="00432EA6"/>
    <w:rsid w:val="0043322F"/>
    <w:rsid w:val="00434607"/>
    <w:rsid w:val="00435EB1"/>
    <w:rsid w:val="00436E27"/>
    <w:rsid w:val="004376CA"/>
    <w:rsid w:val="00437B29"/>
    <w:rsid w:val="004403E6"/>
    <w:rsid w:val="004425A2"/>
    <w:rsid w:val="00443314"/>
    <w:rsid w:val="004436BC"/>
    <w:rsid w:val="00444721"/>
    <w:rsid w:val="004449E0"/>
    <w:rsid w:val="00444A05"/>
    <w:rsid w:val="00444F6E"/>
    <w:rsid w:val="00445468"/>
    <w:rsid w:val="00445953"/>
    <w:rsid w:val="00445F16"/>
    <w:rsid w:val="00446421"/>
    <w:rsid w:val="0044692E"/>
    <w:rsid w:val="00450126"/>
    <w:rsid w:val="00450D53"/>
    <w:rsid w:val="00451FDB"/>
    <w:rsid w:val="004525AB"/>
    <w:rsid w:val="00452923"/>
    <w:rsid w:val="004537E7"/>
    <w:rsid w:val="0045533D"/>
    <w:rsid w:val="00455DD7"/>
    <w:rsid w:val="00455E85"/>
    <w:rsid w:val="00456035"/>
    <w:rsid w:val="00456F8C"/>
    <w:rsid w:val="00457367"/>
    <w:rsid w:val="004573B7"/>
    <w:rsid w:val="004573C8"/>
    <w:rsid w:val="0045782E"/>
    <w:rsid w:val="00457C37"/>
    <w:rsid w:val="0046100D"/>
    <w:rsid w:val="00461176"/>
    <w:rsid w:val="00461334"/>
    <w:rsid w:val="004615A8"/>
    <w:rsid w:val="00461FA7"/>
    <w:rsid w:val="00461FE9"/>
    <w:rsid w:val="00462F94"/>
    <w:rsid w:val="00463447"/>
    <w:rsid w:val="00464D11"/>
    <w:rsid w:val="004653C6"/>
    <w:rsid w:val="004657C4"/>
    <w:rsid w:val="00466784"/>
    <w:rsid w:val="00466D07"/>
    <w:rsid w:val="00467088"/>
    <w:rsid w:val="00467129"/>
    <w:rsid w:val="00467155"/>
    <w:rsid w:val="0046727B"/>
    <w:rsid w:val="00467D71"/>
    <w:rsid w:val="0047061E"/>
    <w:rsid w:val="00471591"/>
    <w:rsid w:val="00471A47"/>
    <w:rsid w:val="00471CDE"/>
    <w:rsid w:val="00471D14"/>
    <w:rsid w:val="00473935"/>
    <w:rsid w:val="0047412D"/>
    <w:rsid w:val="00474184"/>
    <w:rsid w:val="0047434E"/>
    <w:rsid w:val="00474D9A"/>
    <w:rsid w:val="00475C39"/>
    <w:rsid w:val="00477253"/>
    <w:rsid w:val="004801E3"/>
    <w:rsid w:val="0048083D"/>
    <w:rsid w:val="0048138B"/>
    <w:rsid w:val="0048178C"/>
    <w:rsid w:val="004832B3"/>
    <w:rsid w:val="00483C84"/>
    <w:rsid w:val="004841BD"/>
    <w:rsid w:val="00484682"/>
    <w:rsid w:val="00484704"/>
    <w:rsid w:val="00485FF6"/>
    <w:rsid w:val="00486B23"/>
    <w:rsid w:val="00486CCC"/>
    <w:rsid w:val="00487527"/>
    <w:rsid w:val="00487690"/>
    <w:rsid w:val="00487A13"/>
    <w:rsid w:val="00490450"/>
    <w:rsid w:val="00490697"/>
    <w:rsid w:val="00490CD6"/>
    <w:rsid w:val="004920C3"/>
    <w:rsid w:val="0049233C"/>
    <w:rsid w:val="00493262"/>
    <w:rsid w:val="004933EF"/>
    <w:rsid w:val="004937E5"/>
    <w:rsid w:val="00493F1E"/>
    <w:rsid w:val="00494EF0"/>
    <w:rsid w:val="00495571"/>
    <w:rsid w:val="004955C4"/>
    <w:rsid w:val="004966ED"/>
    <w:rsid w:val="00496C3F"/>
    <w:rsid w:val="00497232"/>
    <w:rsid w:val="00497544"/>
    <w:rsid w:val="00497868"/>
    <w:rsid w:val="004A0B54"/>
    <w:rsid w:val="004A0F15"/>
    <w:rsid w:val="004A1B0E"/>
    <w:rsid w:val="004A1B44"/>
    <w:rsid w:val="004A1DB6"/>
    <w:rsid w:val="004A211A"/>
    <w:rsid w:val="004A2865"/>
    <w:rsid w:val="004A2A3B"/>
    <w:rsid w:val="004A3386"/>
    <w:rsid w:val="004A3CEA"/>
    <w:rsid w:val="004A3CFA"/>
    <w:rsid w:val="004A4E30"/>
    <w:rsid w:val="004A53E6"/>
    <w:rsid w:val="004A5465"/>
    <w:rsid w:val="004A597B"/>
    <w:rsid w:val="004A59F6"/>
    <w:rsid w:val="004A5C22"/>
    <w:rsid w:val="004A5C58"/>
    <w:rsid w:val="004A65A8"/>
    <w:rsid w:val="004A684E"/>
    <w:rsid w:val="004A68CD"/>
    <w:rsid w:val="004A75BF"/>
    <w:rsid w:val="004A7B60"/>
    <w:rsid w:val="004B0BE8"/>
    <w:rsid w:val="004B0D99"/>
    <w:rsid w:val="004B1814"/>
    <w:rsid w:val="004B1B50"/>
    <w:rsid w:val="004B1E22"/>
    <w:rsid w:val="004B2D58"/>
    <w:rsid w:val="004B2F6E"/>
    <w:rsid w:val="004B56C9"/>
    <w:rsid w:val="004B5A27"/>
    <w:rsid w:val="004B5F18"/>
    <w:rsid w:val="004B67DF"/>
    <w:rsid w:val="004B7677"/>
    <w:rsid w:val="004C0ADB"/>
    <w:rsid w:val="004C1177"/>
    <w:rsid w:val="004C1774"/>
    <w:rsid w:val="004C3177"/>
    <w:rsid w:val="004C3695"/>
    <w:rsid w:val="004C5355"/>
    <w:rsid w:val="004C5CF0"/>
    <w:rsid w:val="004C5DAE"/>
    <w:rsid w:val="004C5F9F"/>
    <w:rsid w:val="004C6144"/>
    <w:rsid w:val="004C661D"/>
    <w:rsid w:val="004C6F79"/>
    <w:rsid w:val="004C7A31"/>
    <w:rsid w:val="004C7B1F"/>
    <w:rsid w:val="004C7B98"/>
    <w:rsid w:val="004D055D"/>
    <w:rsid w:val="004D0920"/>
    <w:rsid w:val="004D17BA"/>
    <w:rsid w:val="004D19A4"/>
    <w:rsid w:val="004D2987"/>
    <w:rsid w:val="004D2CE7"/>
    <w:rsid w:val="004D2FB4"/>
    <w:rsid w:val="004D3AA6"/>
    <w:rsid w:val="004D428A"/>
    <w:rsid w:val="004D43D7"/>
    <w:rsid w:val="004D49FA"/>
    <w:rsid w:val="004D4D01"/>
    <w:rsid w:val="004D526E"/>
    <w:rsid w:val="004D5843"/>
    <w:rsid w:val="004D5D75"/>
    <w:rsid w:val="004D61A6"/>
    <w:rsid w:val="004D7CC7"/>
    <w:rsid w:val="004E05C9"/>
    <w:rsid w:val="004E0DB5"/>
    <w:rsid w:val="004E101F"/>
    <w:rsid w:val="004E119A"/>
    <w:rsid w:val="004E13B3"/>
    <w:rsid w:val="004E1669"/>
    <w:rsid w:val="004E2DBC"/>
    <w:rsid w:val="004E38F3"/>
    <w:rsid w:val="004E452F"/>
    <w:rsid w:val="004E471B"/>
    <w:rsid w:val="004E4BAE"/>
    <w:rsid w:val="004E5B98"/>
    <w:rsid w:val="004E5DD2"/>
    <w:rsid w:val="004E671F"/>
    <w:rsid w:val="004E7569"/>
    <w:rsid w:val="004E7B72"/>
    <w:rsid w:val="004F05BA"/>
    <w:rsid w:val="004F0FBC"/>
    <w:rsid w:val="004F1049"/>
    <w:rsid w:val="004F10DC"/>
    <w:rsid w:val="004F1B65"/>
    <w:rsid w:val="004F2583"/>
    <w:rsid w:val="004F3422"/>
    <w:rsid w:val="004F4565"/>
    <w:rsid w:val="004F4843"/>
    <w:rsid w:val="004F4B9F"/>
    <w:rsid w:val="004F5319"/>
    <w:rsid w:val="004F5800"/>
    <w:rsid w:val="004F5F0D"/>
    <w:rsid w:val="004F61DC"/>
    <w:rsid w:val="004F6968"/>
    <w:rsid w:val="004F6DD8"/>
    <w:rsid w:val="004F6F4B"/>
    <w:rsid w:val="004F70B8"/>
    <w:rsid w:val="005005DA"/>
    <w:rsid w:val="0050167A"/>
    <w:rsid w:val="00501ED2"/>
    <w:rsid w:val="00502208"/>
    <w:rsid w:val="00503428"/>
    <w:rsid w:val="005039CA"/>
    <w:rsid w:val="00504AB2"/>
    <w:rsid w:val="0050580D"/>
    <w:rsid w:val="00505918"/>
    <w:rsid w:val="00505F72"/>
    <w:rsid w:val="00506E59"/>
    <w:rsid w:val="005073CA"/>
    <w:rsid w:val="00507605"/>
    <w:rsid w:val="00507763"/>
    <w:rsid w:val="00507C18"/>
    <w:rsid w:val="005101C4"/>
    <w:rsid w:val="005103EB"/>
    <w:rsid w:val="00510916"/>
    <w:rsid w:val="00510A72"/>
    <w:rsid w:val="00510DCC"/>
    <w:rsid w:val="00511215"/>
    <w:rsid w:val="00511403"/>
    <w:rsid w:val="00511EF9"/>
    <w:rsid w:val="005120F3"/>
    <w:rsid w:val="00512CBA"/>
    <w:rsid w:val="00512FF8"/>
    <w:rsid w:val="00513814"/>
    <w:rsid w:val="00513B19"/>
    <w:rsid w:val="00513DE4"/>
    <w:rsid w:val="00514570"/>
    <w:rsid w:val="0051506D"/>
    <w:rsid w:val="00516252"/>
    <w:rsid w:val="005162DC"/>
    <w:rsid w:val="00517CE0"/>
    <w:rsid w:val="00517F00"/>
    <w:rsid w:val="00520036"/>
    <w:rsid w:val="0052012B"/>
    <w:rsid w:val="00520312"/>
    <w:rsid w:val="0052066E"/>
    <w:rsid w:val="00520EB8"/>
    <w:rsid w:val="00523415"/>
    <w:rsid w:val="00523977"/>
    <w:rsid w:val="00523A71"/>
    <w:rsid w:val="00523C83"/>
    <w:rsid w:val="00523FD8"/>
    <w:rsid w:val="005247F7"/>
    <w:rsid w:val="00524AB6"/>
    <w:rsid w:val="0052548B"/>
    <w:rsid w:val="00525B38"/>
    <w:rsid w:val="00525DAE"/>
    <w:rsid w:val="005265D8"/>
    <w:rsid w:val="005268BC"/>
    <w:rsid w:val="00526EC3"/>
    <w:rsid w:val="00526EED"/>
    <w:rsid w:val="00527144"/>
    <w:rsid w:val="0052747D"/>
    <w:rsid w:val="00527789"/>
    <w:rsid w:val="00527C22"/>
    <w:rsid w:val="00527DC7"/>
    <w:rsid w:val="0053046D"/>
    <w:rsid w:val="0053065B"/>
    <w:rsid w:val="00530751"/>
    <w:rsid w:val="00530FC0"/>
    <w:rsid w:val="00531153"/>
    <w:rsid w:val="005311A6"/>
    <w:rsid w:val="0053139C"/>
    <w:rsid w:val="005319D5"/>
    <w:rsid w:val="00532408"/>
    <w:rsid w:val="0053267D"/>
    <w:rsid w:val="00533325"/>
    <w:rsid w:val="005333B0"/>
    <w:rsid w:val="005334D3"/>
    <w:rsid w:val="005338AC"/>
    <w:rsid w:val="00533F32"/>
    <w:rsid w:val="00534938"/>
    <w:rsid w:val="0053620A"/>
    <w:rsid w:val="00536516"/>
    <w:rsid w:val="00537B64"/>
    <w:rsid w:val="00537BD1"/>
    <w:rsid w:val="00537D48"/>
    <w:rsid w:val="00540217"/>
    <w:rsid w:val="00540470"/>
    <w:rsid w:val="00540543"/>
    <w:rsid w:val="00540DB0"/>
    <w:rsid w:val="00540E32"/>
    <w:rsid w:val="00542AD1"/>
    <w:rsid w:val="0054325D"/>
    <w:rsid w:val="00543B60"/>
    <w:rsid w:val="00543DC4"/>
    <w:rsid w:val="00543F92"/>
    <w:rsid w:val="00545FB4"/>
    <w:rsid w:val="0054609D"/>
    <w:rsid w:val="005461BB"/>
    <w:rsid w:val="00546C85"/>
    <w:rsid w:val="00547DF2"/>
    <w:rsid w:val="005502C9"/>
    <w:rsid w:val="005511BB"/>
    <w:rsid w:val="005521DC"/>
    <w:rsid w:val="00552810"/>
    <w:rsid w:val="00552A61"/>
    <w:rsid w:val="00552DAA"/>
    <w:rsid w:val="005536F6"/>
    <w:rsid w:val="00553BBB"/>
    <w:rsid w:val="00553E07"/>
    <w:rsid w:val="00553FFA"/>
    <w:rsid w:val="0055497E"/>
    <w:rsid w:val="005553E1"/>
    <w:rsid w:val="00555950"/>
    <w:rsid w:val="00555DBA"/>
    <w:rsid w:val="00555DF2"/>
    <w:rsid w:val="00555F80"/>
    <w:rsid w:val="00556469"/>
    <w:rsid w:val="005576C5"/>
    <w:rsid w:val="0055774F"/>
    <w:rsid w:val="00557809"/>
    <w:rsid w:val="00560754"/>
    <w:rsid w:val="00560D60"/>
    <w:rsid w:val="00561C4C"/>
    <w:rsid w:val="00562FA2"/>
    <w:rsid w:val="00562FD9"/>
    <w:rsid w:val="00563248"/>
    <w:rsid w:val="00564112"/>
    <w:rsid w:val="005643FD"/>
    <w:rsid w:val="0056490A"/>
    <w:rsid w:val="00564DDE"/>
    <w:rsid w:val="00564FF5"/>
    <w:rsid w:val="00565167"/>
    <w:rsid w:val="0056551B"/>
    <w:rsid w:val="005656A5"/>
    <w:rsid w:val="00565C89"/>
    <w:rsid w:val="00565D52"/>
    <w:rsid w:val="00566170"/>
    <w:rsid w:val="00570AF3"/>
    <w:rsid w:val="00570E90"/>
    <w:rsid w:val="0057170C"/>
    <w:rsid w:val="005717F1"/>
    <w:rsid w:val="00571DB2"/>
    <w:rsid w:val="0057259B"/>
    <w:rsid w:val="005725C7"/>
    <w:rsid w:val="0057363E"/>
    <w:rsid w:val="0057364A"/>
    <w:rsid w:val="00573EE6"/>
    <w:rsid w:val="0057462C"/>
    <w:rsid w:val="005746F8"/>
    <w:rsid w:val="00574D15"/>
    <w:rsid w:val="00574ED4"/>
    <w:rsid w:val="005750D8"/>
    <w:rsid w:val="005754FD"/>
    <w:rsid w:val="00575961"/>
    <w:rsid w:val="005776D1"/>
    <w:rsid w:val="00577EA9"/>
    <w:rsid w:val="005800B9"/>
    <w:rsid w:val="00580907"/>
    <w:rsid w:val="00581455"/>
    <w:rsid w:val="005820EF"/>
    <w:rsid w:val="00582579"/>
    <w:rsid w:val="005830B6"/>
    <w:rsid w:val="0058316E"/>
    <w:rsid w:val="00584B1D"/>
    <w:rsid w:val="005852B7"/>
    <w:rsid w:val="0058550D"/>
    <w:rsid w:val="0058591C"/>
    <w:rsid w:val="005859DB"/>
    <w:rsid w:val="00585A4D"/>
    <w:rsid w:val="00585CB3"/>
    <w:rsid w:val="005860E9"/>
    <w:rsid w:val="0058610B"/>
    <w:rsid w:val="00586620"/>
    <w:rsid w:val="0058671B"/>
    <w:rsid w:val="005868E7"/>
    <w:rsid w:val="00586B18"/>
    <w:rsid w:val="00586BE3"/>
    <w:rsid w:val="005876AC"/>
    <w:rsid w:val="00587DE3"/>
    <w:rsid w:val="005906B9"/>
    <w:rsid w:val="00590D2C"/>
    <w:rsid w:val="00591370"/>
    <w:rsid w:val="00591FC2"/>
    <w:rsid w:val="00592110"/>
    <w:rsid w:val="00593556"/>
    <w:rsid w:val="005936F8"/>
    <w:rsid w:val="00593C1C"/>
    <w:rsid w:val="0059493D"/>
    <w:rsid w:val="005952E2"/>
    <w:rsid w:val="0059586E"/>
    <w:rsid w:val="00595EF8"/>
    <w:rsid w:val="00596A34"/>
    <w:rsid w:val="00596DDD"/>
    <w:rsid w:val="005970AA"/>
    <w:rsid w:val="00597600"/>
    <w:rsid w:val="005977F4"/>
    <w:rsid w:val="00597EA4"/>
    <w:rsid w:val="00597F97"/>
    <w:rsid w:val="005A29A4"/>
    <w:rsid w:val="005A2CC1"/>
    <w:rsid w:val="005A2E29"/>
    <w:rsid w:val="005A3FB0"/>
    <w:rsid w:val="005A41CE"/>
    <w:rsid w:val="005A42B3"/>
    <w:rsid w:val="005A4B31"/>
    <w:rsid w:val="005A585B"/>
    <w:rsid w:val="005A5D50"/>
    <w:rsid w:val="005A6B1B"/>
    <w:rsid w:val="005A7126"/>
    <w:rsid w:val="005A7421"/>
    <w:rsid w:val="005A79B0"/>
    <w:rsid w:val="005B023C"/>
    <w:rsid w:val="005B076D"/>
    <w:rsid w:val="005B0B3D"/>
    <w:rsid w:val="005B101D"/>
    <w:rsid w:val="005B10D8"/>
    <w:rsid w:val="005B1724"/>
    <w:rsid w:val="005B19FA"/>
    <w:rsid w:val="005B1B00"/>
    <w:rsid w:val="005B1D76"/>
    <w:rsid w:val="005B242A"/>
    <w:rsid w:val="005B27AF"/>
    <w:rsid w:val="005B2A97"/>
    <w:rsid w:val="005B2D97"/>
    <w:rsid w:val="005B2EDC"/>
    <w:rsid w:val="005B3433"/>
    <w:rsid w:val="005B4AF4"/>
    <w:rsid w:val="005B4F84"/>
    <w:rsid w:val="005B5751"/>
    <w:rsid w:val="005B6331"/>
    <w:rsid w:val="005B6DB8"/>
    <w:rsid w:val="005B7508"/>
    <w:rsid w:val="005B7A9F"/>
    <w:rsid w:val="005B7BAD"/>
    <w:rsid w:val="005C043A"/>
    <w:rsid w:val="005C09FF"/>
    <w:rsid w:val="005C11BD"/>
    <w:rsid w:val="005C197C"/>
    <w:rsid w:val="005C19B6"/>
    <w:rsid w:val="005C2166"/>
    <w:rsid w:val="005C277B"/>
    <w:rsid w:val="005C3268"/>
    <w:rsid w:val="005C35A5"/>
    <w:rsid w:val="005C381A"/>
    <w:rsid w:val="005C3A9A"/>
    <w:rsid w:val="005C3F7C"/>
    <w:rsid w:val="005C40E3"/>
    <w:rsid w:val="005C4412"/>
    <w:rsid w:val="005C45E2"/>
    <w:rsid w:val="005C4BFD"/>
    <w:rsid w:val="005C582D"/>
    <w:rsid w:val="005C58F0"/>
    <w:rsid w:val="005C5AB7"/>
    <w:rsid w:val="005C5B87"/>
    <w:rsid w:val="005C62CE"/>
    <w:rsid w:val="005C645E"/>
    <w:rsid w:val="005D045B"/>
    <w:rsid w:val="005D0EEB"/>
    <w:rsid w:val="005D123F"/>
    <w:rsid w:val="005D1451"/>
    <w:rsid w:val="005D18BF"/>
    <w:rsid w:val="005D1DFD"/>
    <w:rsid w:val="005D25B3"/>
    <w:rsid w:val="005D288E"/>
    <w:rsid w:val="005D342B"/>
    <w:rsid w:val="005D34C9"/>
    <w:rsid w:val="005D37B7"/>
    <w:rsid w:val="005D49E1"/>
    <w:rsid w:val="005D4A8F"/>
    <w:rsid w:val="005D5154"/>
    <w:rsid w:val="005D5523"/>
    <w:rsid w:val="005D5C0D"/>
    <w:rsid w:val="005D5FF3"/>
    <w:rsid w:val="005D6594"/>
    <w:rsid w:val="005D75CE"/>
    <w:rsid w:val="005D77C3"/>
    <w:rsid w:val="005E0193"/>
    <w:rsid w:val="005E17BC"/>
    <w:rsid w:val="005E1BCF"/>
    <w:rsid w:val="005E21B4"/>
    <w:rsid w:val="005E2B7F"/>
    <w:rsid w:val="005E3118"/>
    <w:rsid w:val="005E3CEF"/>
    <w:rsid w:val="005E419C"/>
    <w:rsid w:val="005E4B96"/>
    <w:rsid w:val="005E4D89"/>
    <w:rsid w:val="005E532A"/>
    <w:rsid w:val="005E5A94"/>
    <w:rsid w:val="005E5C48"/>
    <w:rsid w:val="005E64B1"/>
    <w:rsid w:val="005E67B8"/>
    <w:rsid w:val="005E68F1"/>
    <w:rsid w:val="005E6F33"/>
    <w:rsid w:val="005E73AA"/>
    <w:rsid w:val="005E75C2"/>
    <w:rsid w:val="005E7C60"/>
    <w:rsid w:val="005F04E8"/>
    <w:rsid w:val="005F08DA"/>
    <w:rsid w:val="005F0F06"/>
    <w:rsid w:val="005F1207"/>
    <w:rsid w:val="005F16F9"/>
    <w:rsid w:val="005F247F"/>
    <w:rsid w:val="005F2905"/>
    <w:rsid w:val="005F2A80"/>
    <w:rsid w:val="005F318E"/>
    <w:rsid w:val="005F43FF"/>
    <w:rsid w:val="005F5D17"/>
    <w:rsid w:val="005F7D9B"/>
    <w:rsid w:val="005F7EEE"/>
    <w:rsid w:val="0060031E"/>
    <w:rsid w:val="0060056F"/>
    <w:rsid w:val="006006D7"/>
    <w:rsid w:val="00600F50"/>
    <w:rsid w:val="006018ED"/>
    <w:rsid w:val="00601969"/>
    <w:rsid w:val="00601E47"/>
    <w:rsid w:val="00601E50"/>
    <w:rsid w:val="00601EA5"/>
    <w:rsid w:val="006022D0"/>
    <w:rsid w:val="0060243E"/>
    <w:rsid w:val="0060288B"/>
    <w:rsid w:val="00602C46"/>
    <w:rsid w:val="0060346D"/>
    <w:rsid w:val="0060396B"/>
    <w:rsid w:val="00603DE8"/>
    <w:rsid w:val="0060526C"/>
    <w:rsid w:val="00605EBD"/>
    <w:rsid w:val="00606AB7"/>
    <w:rsid w:val="00607BE4"/>
    <w:rsid w:val="00607D33"/>
    <w:rsid w:val="00607D74"/>
    <w:rsid w:val="00607F09"/>
    <w:rsid w:val="006113B5"/>
    <w:rsid w:val="0061149C"/>
    <w:rsid w:val="00611F29"/>
    <w:rsid w:val="00612A4A"/>
    <w:rsid w:val="00613710"/>
    <w:rsid w:val="00613A41"/>
    <w:rsid w:val="00613A62"/>
    <w:rsid w:val="00614B2D"/>
    <w:rsid w:val="00615AD6"/>
    <w:rsid w:val="00615D41"/>
    <w:rsid w:val="006162DF"/>
    <w:rsid w:val="00616896"/>
    <w:rsid w:val="00616A0D"/>
    <w:rsid w:val="00617972"/>
    <w:rsid w:val="006202AE"/>
    <w:rsid w:val="0062030F"/>
    <w:rsid w:val="006203EF"/>
    <w:rsid w:val="00620AFB"/>
    <w:rsid w:val="00621205"/>
    <w:rsid w:val="0062171A"/>
    <w:rsid w:val="0062217A"/>
    <w:rsid w:val="00622391"/>
    <w:rsid w:val="00622AAC"/>
    <w:rsid w:val="00623A5F"/>
    <w:rsid w:val="00623D77"/>
    <w:rsid w:val="006240A3"/>
    <w:rsid w:val="0062512F"/>
    <w:rsid w:val="006252FD"/>
    <w:rsid w:val="0062548F"/>
    <w:rsid w:val="00626C2D"/>
    <w:rsid w:val="006270FB"/>
    <w:rsid w:val="00630142"/>
    <w:rsid w:val="00630A19"/>
    <w:rsid w:val="00630CA9"/>
    <w:rsid w:val="00630D94"/>
    <w:rsid w:val="006311DF"/>
    <w:rsid w:val="006313B6"/>
    <w:rsid w:val="0063174F"/>
    <w:rsid w:val="00632377"/>
    <w:rsid w:val="00632586"/>
    <w:rsid w:val="00633928"/>
    <w:rsid w:val="0063441C"/>
    <w:rsid w:val="0063469C"/>
    <w:rsid w:val="00634CB6"/>
    <w:rsid w:val="006351F2"/>
    <w:rsid w:val="00636527"/>
    <w:rsid w:val="00636B01"/>
    <w:rsid w:val="00636C24"/>
    <w:rsid w:val="00637032"/>
    <w:rsid w:val="0063763D"/>
    <w:rsid w:val="00640183"/>
    <w:rsid w:val="00640253"/>
    <w:rsid w:val="00640270"/>
    <w:rsid w:val="006408B0"/>
    <w:rsid w:val="00640B3B"/>
    <w:rsid w:val="00641310"/>
    <w:rsid w:val="006415C4"/>
    <w:rsid w:val="006419F4"/>
    <w:rsid w:val="006425FA"/>
    <w:rsid w:val="00642E44"/>
    <w:rsid w:val="006430EC"/>
    <w:rsid w:val="00643672"/>
    <w:rsid w:val="0064412C"/>
    <w:rsid w:val="006445DF"/>
    <w:rsid w:val="00644B0A"/>
    <w:rsid w:val="00644EBF"/>
    <w:rsid w:val="00645711"/>
    <w:rsid w:val="00645DB7"/>
    <w:rsid w:val="00645FE3"/>
    <w:rsid w:val="00646017"/>
    <w:rsid w:val="00646248"/>
    <w:rsid w:val="00646393"/>
    <w:rsid w:val="00646F29"/>
    <w:rsid w:val="00647CE8"/>
    <w:rsid w:val="00650788"/>
    <w:rsid w:val="00650865"/>
    <w:rsid w:val="00650F74"/>
    <w:rsid w:val="00651D57"/>
    <w:rsid w:val="006521B0"/>
    <w:rsid w:val="00652733"/>
    <w:rsid w:val="006544B4"/>
    <w:rsid w:val="0065489D"/>
    <w:rsid w:val="00654994"/>
    <w:rsid w:val="006550E8"/>
    <w:rsid w:val="00656ADE"/>
    <w:rsid w:val="00656CA2"/>
    <w:rsid w:val="00656D96"/>
    <w:rsid w:val="00656DD6"/>
    <w:rsid w:val="006572F1"/>
    <w:rsid w:val="00657B28"/>
    <w:rsid w:val="006605B5"/>
    <w:rsid w:val="00660CCF"/>
    <w:rsid w:val="006610BB"/>
    <w:rsid w:val="006617E7"/>
    <w:rsid w:val="0066267D"/>
    <w:rsid w:val="00662A6E"/>
    <w:rsid w:val="00662EC6"/>
    <w:rsid w:val="00663C71"/>
    <w:rsid w:val="00664AAB"/>
    <w:rsid w:val="00664F1D"/>
    <w:rsid w:val="006663CC"/>
    <w:rsid w:val="00666802"/>
    <w:rsid w:val="006669B6"/>
    <w:rsid w:val="006670E1"/>
    <w:rsid w:val="0066728A"/>
    <w:rsid w:val="006676FB"/>
    <w:rsid w:val="00667C5B"/>
    <w:rsid w:val="00667E9E"/>
    <w:rsid w:val="0067010D"/>
    <w:rsid w:val="00670372"/>
    <w:rsid w:val="00670DAF"/>
    <w:rsid w:val="006713BF"/>
    <w:rsid w:val="00672517"/>
    <w:rsid w:val="0067289F"/>
    <w:rsid w:val="00673717"/>
    <w:rsid w:val="0067421A"/>
    <w:rsid w:val="00674907"/>
    <w:rsid w:val="00674E08"/>
    <w:rsid w:val="00675985"/>
    <w:rsid w:val="00676013"/>
    <w:rsid w:val="006764DE"/>
    <w:rsid w:val="00677542"/>
    <w:rsid w:val="00677BDA"/>
    <w:rsid w:val="00677CEC"/>
    <w:rsid w:val="00677EB7"/>
    <w:rsid w:val="006802B1"/>
    <w:rsid w:val="006813A7"/>
    <w:rsid w:val="00682547"/>
    <w:rsid w:val="00682AAA"/>
    <w:rsid w:val="00682C91"/>
    <w:rsid w:val="00682FA5"/>
    <w:rsid w:val="0068369D"/>
    <w:rsid w:val="006848AC"/>
    <w:rsid w:val="00684EFB"/>
    <w:rsid w:val="00684F9B"/>
    <w:rsid w:val="00685462"/>
    <w:rsid w:val="00686172"/>
    <w:rsid w:val="006871AF"/>
    <w:rsid w:val="00687C26"/>
    <w:rsid w:val="00687FE0"/>
    <w:rsid w:val="00690BB5"/>
    <w:rsid w:val="00690FCA"/>
    <w:rsid w:val="006912D3"/>
    <w:rsid w:val="00691A04"/>
    <w:rsid w:val="00692408"/>
    <w:rsid w:val="006924F1"/>
    <w:rsid w:val="00692F70"/>
    <w:rsid w:val="00693312"/>
    <w:rsid w:val="00694504"/>
    <w:rsid w:val="00694BBF"/>
    <w:rsid w:val="00694EED"/>
    <w:rsid w:val="00695263"/>
    <w:rsid w:val="00695765"/>
    <w:rsid w:val="00695B65"/>
    <w:rsid w:val="00696209"/>
    <w:rsid w:val="00696238"/>
    <w:rsid w:val="00696555"/>
    <w:rsid w:val="006967FF"/>
    <w:rsid w:val="00696AC1"/>
    <w:rsid w:val="00696CFB"/>
    <w:rsid w:val="006971F2"/>
    <w:rsid w:val="0069735E"/>
    <w:rsid w:val="00697386"/>
    <w:rsid w:val="00697936"/>
    <w:rsid w:val="00697A7A"/>
    <w:rsid w:val="00697DDC"/>
    <w:rsid w:val="006A1278"/>
    <w:rsid w:val="006A1B02"/>
    <w:rsid w:val="006A21EA"/>
    <w:rsid w:val="006A2A9B"/>
    <w:rsid w:val="006A2FF7"/>
    <w:rsid w:val="006A30DB"/>
    <w:rsid w:val="006A359B"/>
    <w:rsid w:val="006A36DE"/>
    <w:rsid w:val="006A37E0"/>
    <w:rsid w:val="006A3843"/>
    <w:rsid w:val="006A3AAF"/>
    <w:rsid w:val="006A4153"/>
    <w:rsid w:val="006A425A"/>
    <w:rsid w:val="006A45DA"/>
    <w:rsid w:val="006A4E60"/>
    <w:rsid w:val="006A4F0D"/>
    <w:rsid w:val="006A56A8"/>
    <w:rsid w:val="006A632B"/>
    <w:rsid w:val="006A7BE0"/>
    <w:rsid w:val="006B068B"/>
    <w:rsid w:val="006B0EFB"/>
    <w:rsid w:val="006B15E4"/>
    <w:rsid w:val="006B23AE"/>
    <w:rsid w:val="006B2838"/>
    <w:rsid w:val="006B2A65"/>
    <w:rsid w:val="006B3505"/>
    <w:rsid w:val="006B3C08"/>
    <w:rsid w:val="006B4451"/>
    <w:rsid w:val="006B48F0"/>
    <w:rsid w:val="006B4CE4"/>
    <w:rsid w:val="006B5094"/>
    <w:rsid w:val="006B5429"/>
    <w:rsid w:val="006B5D63"/>
    <w:rsid w:val="006B6B71"/>
    <w:rsid w:val="006B7044"/>
    <w:rsid w:val="006B73EE"/>
    <w:rsid w:val="006B782B"/>
    <w:rsid w:val="006B78B8"/>
    <w:rsid w:val="006B78FE"/>
    <w:rsid w:val="006B7D94"/>
    <w:rsid w:val="006C0361"/>
    <w:rsid w:val="006C051B"/>
    <w:rsid w:val="006C0729"/>
    <w:rsid w:val="006C0A9D"/>
    <w:rsid w:val="006C10BE"/>
    <w:rsid w:val="006C111B"/>
    <w:rsid w:val="006C1690"/>
    <w:rsid w:val="006C1819"/>
    <w:rsid w:val="006C1A33"/>
    <w:rsid w:val="006C1F88"/>
    <w:rsid w:val="006C2991"/>
    <w:rsid w:val="006C2B6F"/>
    <w:rsid w:val="006C3068"/>
    <w:rsid w:val="006C3FE6"/>
    <w:rsid w:val="006C4918"/>
    <w:rsid w:val="006C4FA6"/>
    <w:rsid w:val="006C52EC"/>
    <w:rsid w:val="006C5360"/>
    <w:rsid w:val="006C6A9A"/>
    <w:rsid w:val="006C6CCD"/>
    <w:rsid w:val="006C6D83"/>
    <w:rsid w:val="006C6EF9"/>
    <w:rsid w:val="006D0BEC"/>
    <w:rsid w:val="006D0E2D"/>
    <w:rsid w:val="006D0E5B"/>
    <w:rsid w:val="006D1D7C"/>
    <w:rsid w:val="006D2002"/>
    <w:rsid w:val="006D3025"/>
    <w:rsid w:val="006D32EA"/>
    <w:rsid w:val="006D381C"/>
    <w:rsid w:val="006D4167"/>
    <w:rsid w:val="006D5DF7"/>
    <w:rsid w:val="006D605F"/>
    <w:rsid w:val="006D792D"/>
    <w:rsid w:val="006E001B"/>
    <w:rsid w:val="006E022B"/>
    <w:rsid w:val="006E04BB"/>
    <w:rsid w:val="006E1685"/>
    <w:rsid w:val="006E23C8"/>
    <w:rsid w:val="006E2C46"/>
    <w:rsid w:val="006E2E59"/>
    <w:rsid w:val="006E3549"/>
    <w:rsid w:val="006E40B6"/>
    <w:rsid w:val="006E5024"/>
    <w:rsid w:val="006E54D9"/>
    <w:rsid w:val="006E5AF0"/>
    <w:rsid w:val="006E5EDA"/>
    <w:rsid w:val="006E64E8"/>
    <w:rsid w:val="006E6FC8"/>
    <w:rsid w:val="006F091F"/>
    <w:rsid w:val="006F134C"/>
    <w:rsid w:val="006F163D"/>
    <w:rsid w:val="006F18F6"/>
    <w:rsid w:val="006F1D66"/>
    <w:rsid w:val="006F2C9E"/>
    <w:rsid w:val="006F3447"/>
    <w:rsid w:val="006F44CD"/>
    <w:rsid w:val="006F5593"/>
    <w:rsid w:val="006F5BC7"/>
    <w:rsid w:val="006F5FB6"/>
    <w:rsid w:val="006F687C"/>
    <w:rsid w:val="006F6BAD"/>
    <w:rsid w:val="006F75CC"/>
    <w:rsid w:val="006F7F7B"/>
    <w:rsid w:val="00700860"/>
    <w:rsid w:val="00701361"/>
    <w:rsid w:val="00701CDF"/>
    <w:rsid w:val="00701CE4"/>
    <w:rsid w:val="00702008"/>
    <w:rsid w:val="007026A8"/>
    <w:rsid w:val="007026AF"/>
    <w:rsid w:val="0070299E"/>
    <w:rsid w:val="00702F9A"/>
    <w:rsid w:val="007031FE"/>
    <w:rsid w:val="0070345D"/>
    <w:rsid w:val="0070370A"/>
    <w:rsid w:val="00703B87"/>
    <w:rsid w:val="007046C7"/>
    <w:rsid w:val="00704964"/>
    <w:rsid w:val="00704BAA"/>
    <w:rsid w:val="007053E4"/>
    <w:rsid w:val="00705C02"/>
    <w:rsid w:val="00706960"/>
    <w:rsid w:val="00706C86"/>
    <w:rsid w:val="00706DFA"/>
    <w:rsid w:val="00707418"/>
    <w:rsid w:val="007078C0"/>
    <w:rsid w:val="00707A10"/>
    <w:rsid w:val="007110B2"/>
    <w:rsid w:val="00711457"/>
    <w:rsid w:val="00711C2F"/>
    <w:rsid w:val="00711DE3"/>
    <w:rsid w:val="00712303"/>
    <w:rsid w:val="00712E74"/>
    <w:rsid w:val="00713082"/>
    <w:rsid w:val="007130B9"/>
    <w:rsid w:val="0071328C"/>
    <w:rsid w:val="00714100"/>
    <w:rsid w:val="007142C4"/>
    <w:rsid w:val="00714A8D"/>
    <w:rsid w:val="00714EFE"/>
    <w:rsid w:val="007162EA"/>
    <w:rsid w:val="007164FF"/>
    <w:rsid w:val="0071658A"/>
    <w:rsid w:val="007166F2"/>
    <w:rsid w:val="00716A98"/>
    <w:rsid w:val="00717212"/>
    <w:rsid w:val="0071747B"/>
    <w:rsid w:val="00721507"/>
    <w:rsid w:val="007215DD"/>
    <w:rsid w:val="00721A1E"/>
    <w:rsid w:val="00722365"/>
    <w:rsid w:val="00722F31"/>
    <w:rsid w:val="0072343A"/>
    <w:rsid w:val="00723904"/>
    <w:rsid w:val="00723C1D"/>
    <w:rsid w:val="00723E9F"/>
    <w:rsid w:val="007249F2"/>
    <w:rsid w:val="00725C94"/>
    <w:rsid w:val="00726055"/>
    <w:rsid w:val="007264CB"/>
    <w:rsid w:val="00727147"/>
    <w:rsid w:val="0072744E"/>
    <w:rsid w:val="00727E60"/>
    <w:rsid w:val="00730CC5"/>
    <w:rsid w:val="007319CC"/>
    <w:rsid w:val="0073286C"/>
    <w:rsid w:val="007329BD"/>
    <w:rsid w:val="00732F8B"/>
    <w:rsid w:val="00733621"/>
    <w:rsid w:val="0073409A"/>
    <w:rsid w:val="007340A6"/>
    <w:rsid w:val="007340D1"/>
    <w:rsid w:val="00734758"/>
    <w:rsid w:val="00734B1C"/>
    <w:rsid w:val="00735B5F"/>
    <w:rsid w:val="00735CF1"/>
    <w:rsid w:val="007362EB"/>
    <w:rsid w:val="00737559"/>
    <w:rsid w:val="00737AD9"/>
    <w:rsid w:val="00740A3B"/>
    <w:rsid w:val="00741198"/>
    <w:rsid w:val="00741301"/>
    <w:rsid w:val="00741641"/>
    <w:rsid w:val="007427ED"/>
    <w:rsid w:val="0074297F"/>
    <w:rsid w:val="00742DD9"/>
    <w:rsid w:val="00742DE7"/>
    <w:rsid w:val="00743031"/>
    <w:rsid w:val="0074312B"/>
    <w:rsid w:val="007438EF"/>
    <w:rsid w:val="007439CF"/>
    <w:rsid w:val="00743DD3"/>
    <w:rsid w:val="00743F7D"/>
    <w:rsid w:val="00744781"/>
    <w:rsid w:val="00744A01"/>
    <w:rsid w:val="00744C2B"/>
    <w:rsid w:val="00744E1C"/>
    <w:rsid w:val="00745465"/>
    <w:rsid w:val="00745B4A"/>
    <w:rsid w:val="0074601F"/>
    <w:rsid w:val="00746829"/>
    <w:rsid w:val="00746E25"/>
    <w:rsid w:val="00747295"/>
    <w:rsid w:val="00747C68"/>
    <w:rsid w:val="0075083E"/>
    <w:rsid w:val="007512FE"/>
    <w:rsid w:val="007517F0"/>
    <w:rsid w:val="00751E38"/>
    <w:rsid w:val="007520F3"/>
    <w:rsid w:val="00752478"/>
    <w:rsid w:val="007532C4"/>
    <w:rsid w:val="00753C8C"/>
    <w:rsid w:val="00755BD9"/>
    <w:rsid w:val="00755DA5"/>
    <w:rsid w:val="00755DD4"/>
    <w:rsid w:val="0075616D"/>
    <w:rsid w:val="00756272"/>
    <w:rsid w:val="007562D7"/>
    <w:rsid w:val="00756344"/>
    <w:rsid w:val="00757CD2"/>
    <w:rsid w:val="00757D57"/>
    <w:rsid w:val="00760370"/>
    <w:rsid w:val="007611CB"/>
    <w:rsid w:val="0076137B"/>
    <w:rsid w:val="00761CFE"/>
    <w:rsid w:val="0076211E"/>
    <w:rsid w:val="00762960"/>
    <w:rsid w:val="00762A8B"/>
    <w:rsid w:val="00762B63"/>
    <w:rsid w:val="00762DB4"/>
    <w:rsid w:val="00762EFC"/>
    <w:rsid w:val="00763C18"/>
    <w:rsid w:val="007648FB"/>
    <w:rsid w:val="0076524F"/>
    <w:rsid w:val="00767BF0"/>
    <w:rsid w:val="00770612"/>
    <w:rsid w:val="00770B53"/>
    <w:rsid w:val="00770C7E"/>
    <w:rsid w:val="00771A2B"/>
    <w:rsid w:val="00774236"/>
    <w:rsid w:val="00774487"/>
    <w:rsid w:val="00774541"/>
    <w:rsid w:val="00774697"/>
    <w:rsid w:val="00774A3D"/>
    <w:rsid w:val="00774BA6"/>
    <w:rsid w:val="00774DD6"/>
    <w:rsid w:val="00775DE6"/>
    <w:rsid w:val="00776237"/>
    <w:rsid w:val="0077633B"/>
    <w:rsid w:val="007763B4"/>
    <w:rsid w:val="007763B7"/>
    <w:rsid w:val="00777819"/>
    <w:rsid w:val="0077788E"/>
    <w:rsid w:val="00777CC3"/>
    <w:rsid w:val="00780635"/>
    <w:rsid w:val="00781922"/>
    <w:rsid w:val="00781BCF"/>
    <w:rsid w:val="0078210A"/>
    <w:rsid w:val="007822E6"/>
    <w:rsid w:val="007826F9"/>
    <w:rsid w:val="00783022"/>
    <w:rsid w:val="00783CB1"/>
    <w:rsid w:val="007846BE"/>
    <w:rsid w:val="00784EF7"/>
    <w:rsid w:val="00786290"/>
    <w:rsid w:val="00787F3F"/>
    <w:rsid w:val="00790E8E"/>
    <w:rsid w:val="0079153A"/>
    <w:rsid w:val="00791A5A"/>
    <w:rsid w:val="00791F2D"/>
    <w:rsid w:val="00792A27"/>
    <w:rsid w:val="00792A98"/>
    <w:rsid w:val="00793489"/>
    <w:rsid w:val="0079386F"/>
    <w:rsid w:val="00793BE6"/>
    <w:rsid w:val="00793E4C"/>
    <w:rsid w:val="007950AC"/>
    <w:rsid w:val="007955AC"/>
    <w:rsid w:val="00795FC5"/>
    <w:rsid w:val="00796361"/>
    <w:rsid w:val="00796C62"/>
    <w:rsid w:val="0079733D"/>
    <w:rsid w:val="0079782F"/>
    <w:rsid w:val="00797DE1"/>
    <w:rsid w:val="007A00D2"/>
    <w:rsid w:val="007A09BF"/>
    <w:rsid w:val="007A1157"/>
    <w:rsid w:val="007A1F27"/>
    <w:rsid w:val="007A1FC9"/>
    <w:rsid w:val="007A20DE"/>
    <w:rsid w:val="007A2123"/>
    <w:rsid w:val="007A3ED6"/>
    <w:rsid w:val="007A42BE"/>
    <w:rsid w:val="007A476B"/>
    <w:rsid w:val="007A516A"/>
    <w:rsid w:val="007A516E"/>
    <w:rsid w:val="007A5C09"/>
    <w:rsid w:val="007A5C9A"/>
    <w:rsid w:val="007A6310"/>
    <w:rsid w:val="007A729B"/>
    <w:rsid w:val="007B077E"/>
    <w:rsid w:val="007B09C9"/>
    <w:rsid w:val="007B1364"/>
    <w:rsid w:val="007B1B71"/>
    <w:rsid w:val="007B3964"/>
    <w:rsid w:val="007B3E00"/>
    <w:rsid w:val="007B3F8C"/>
    <w:rsid w:val="007B42FC"/>
    <w:rsid w:val="007B4E02"/>
    <w:rsid w:val="007B5882"/>
    <w:rsid w:val="007B7867"/>
    <w:rsid w:val="007C0680"/>
    <w:rsid w:val="007C0D97"/>
    <w:rsid w:val="007C11A5"/>
    <w:rsid w:val="007C12D9"/>
    <w:rsid w:val="007C175B"/>
    <w:rsid w:val="007C23F8"/>
    <w:rsid w:val="007C2A44"/>
    <w:rsid w:val="007C3270"/>
    <w:rsid w:val="007C375E"/>
    <w:rsid w:val="007C4498"/>
    <w:rsid w:val="007C5BDE"/>
    <w:rsid w:val="007C6014"/>
    <w:rsid w:val="007C79DE"/>
    <w:rsid w:val="007D0436"/>
    <w:rsid w:val="007D076A"/>
    <w:rsid w:val="007D0A5A"/>
    <w:rsid w:val="007D0C4A"/>
    <w:rsid w:val="007D106F"/>
    <w:rsid w:val="007D15B7"/>
    <w:rsid w:val="007D1D5F"/>
    <w:rsid w:val="007D2F61"/>
    <w:rsid w:val="007D3EB9"/>
    <w:rsid w:val="007D51A8"/>
    <w:rsid w:val="007D5A07"/>
    <w:rsid w:val="007D5E22"/>
    <w:rsid w:val="007D604C"/>
    <w:rsid w:val="007D682C"/>
    <w:rsid w:val="007D735A"/>
    <w:rsid w:val="007D7942"/>
    <w:rsid w:val="007D7F66"/>
    <w:rsid w:val="007E0AE8"/>
    <w:rsid w:val="007E0EC4"/>
    <w:rsid w:val="007E1012"/>
    <w:rsid w:val="007E145F"/>
    <w:rsid w:val="007E167E"/>
    <w:rsid w:val="007E1F2E"/>
    <w:rsid w:val="007E25F2"/>
    <w:rsid w:val="007E3ACE"/>
    <w:rsid w:val="007E3E8E"/>
    <w:rsid w:val="007E475F"/>
    <w:rsid w:val="007E48BB"/>
    <w:rsid w:val="007E581C"/>
    <w:rsid w:val="007E58FA"/>
    <w:rsid w:val="007E670A"/>
    <w:rsid w:val="007E7630"/>
    <w:rsid w:val="007F1643"/>
    <w:rsid w:val="007F17D2"/>
    <w:rsid w:val="007F17EA"/>
    <w:rsid w:val="007F26E2"/>
    <w:rsid w:val="007F29F8"/>
    <w:rsid w:val="007F2E46"/>
    <w:rsid w:val="007F349A"/>
    <w:rsid w:val="007F379C"/>
    <w:rsid w:val="007F4F0E"/>
    <w:rsid w:val="007F5B30"/>
    <w:rsid w:val="007F5E61"/>
    <w:rsid w:val="007F6783"/>
    <w:rsid w:val="007F75CC"/>
    <w:rsid w:val="007F7B12"/>
    <w:rsid w:val="007F7B30"/>
    <w:rsid w:val="008006FE"/>
    <w:rsid w:val="0080091F"/>
    <w:rsid w:val="00800A5E"/>
    <w:rsid w:val="008012E0"/>
    <w:rsid w:val="00801568"/>
    <w:rsid w:val="00802458"/>
    <w:rsid w:val="008033BF"/>
    <w:rsid w:val="00803A70"/>
    <w:rsid w:val="00803F3D"/>
    <w:rsid w:val="00803FAA"/>
    <w:rsid w:val="0080424A"/>
    <w:rsid w:val="008042D6"/>
    <w:rsid w:val="00804ECB"/>
    <w:rsid w:val="0080587D"/>
    <w:rsid w:val="00805902"/>
    <w:rsid w:val="008059EC"/>
    <w:rsid w:val="00806022"/>
    <w:rsid w:val="00806543"/>
    <w:rsid w:val="00806BD8"/>
    <w:rsid w:val="00806C34"/>
    <w:rsid w:val="0080707D"/>
    <w:rsid w:val="0081086B"/>
    <w:rsid w:val="00811BE0"/>
    <w:rsid w:val="0081252A"/>
    <w:rsid w:val="00812C6C"/>
    <w:rsid w:val="00812E9D"/>
    <w:rsid w:val="00812ED1"/>
    <w:rsid w:val="00814212"/>
    <w:rsid w:val="008152CD"/>
    <w:rsid w:val="008152DC"/>
    <w:rsid w:val="0081649A"/>
    <w:rsid w:val="00816814"/>
    <w:rsid w:val="00816AAD"/>
    <w:rsid w:val="0081719C"/>
    <w:rsid w:val="00817CB0"/>
    <w:rsid w:val="00820807"/>
    <w:rsid w:val="00820A72"/>
    <w:rsid w:val="00820F69"/>
    <w:rsid w:val="00821866"/>
    <w:rsid w:val="00821E33"/>
    <w:rsid w:val="00822563"/>
    <w:rsid w:val="00822612"/>
    <w:rsid w:val="008227BB"/>
    <w:rsid w:val="008229BE"/>
    <w:rsid w:val="008231E9"/>
    <w:rsid w:val="008244D3"/>
    <w:rsid w:val="00824567"/>
    <w:rsid w:val="00824AB5"/>
    <w:rsid w:val="00824DCB"/>
    <w:rsid w:val="00824E50"/>
    <w:rsid w:val="00824ECD"/>
    <w:rsid w:val="00825239"/>
    <w:rsid w:val="00825C05"/>
    <w:rsid w:val="00825EF5"/>
    <w:rsid w:val="008268E8"/>
    <w:rsid w:val="00826A5A"/>
    <w:rsid w:val="00826B5C"/>
    <w:rsid w:val="00826F73"/>
    <w:rsid w:val="00827A36"/>
    <w:rsid w:val="00827DF2"/>
    <w:rsid w:val="00827EC6"/>
    <w:rsid w:val="00830157"/>
    <w:rsid w:val="00830590"/>
    <w:rsid w:val="00830FC9"/>
    <w:rsid w:val="00831221"/>
    <w:rsid w:val="00831A2C"/>
    <w:rsid w:val="00831E8A"/>
    <w:rsid w:val="008325BF"/>
    <w:rsid w:val="00832807"/>
    <w:rsid w:val="0083373C"/>
    <w:rsid w:val="00833DDB"/>
    <w:rsid w:val="008343FB"/>
    <w:rsid w:val="0083444F"/>
    <w:rsid w:val="0083505C"/>
    <w:rsid w:val="00835600"/>
    <w:rsid w:val="00835AA2"/>
    <w:rsid w:val="008367A4"/>
    <w:rsid w:val="00837272"/>
    <w:rsid w:val="00837B73"/>
    <w:rsid w:val="00837F3C"/>
    <w:rsid w:val="00840A37"/>
    <w:rsid w:val="00840AA9"/>
    <w:rsid w:val="00840AB2"/>
    <w:rsid w:val="00841760"/>
    <w:rsid w:val="008419FC"/>
    <w:rsid w:val="00841FAB"/>
    <w:rsid w:val="0084203B"/>
    <w:rsid w:val="00842608"/>
    <w:rsid w:val="00843039"/>
    <w:rsid w:val="0084377C"/>
    <w:rsid w:val="008437B9"/>
    <w:rsid w:val="00843DD3"/>
    <w:rsid w:val="00844712"/>
    <w:rsid w:val="0084483E"/>
    <w:rsid w:val="00844DF1"/>
    <w:rsid w:val="00844EFB"/>
    <w:rsid w:val="008450A8"/>
    <w:rsid w:val="008451AA"/>
    <w:rsid w:val="00845205"/>
    <w:rsid w:val="00845546"/>
    <w:rsid w:val="0084613B"/>
    <w:rsid w:val="00846A32"/>
    <w:rsid w:val="008472A2"/>
    <w:rsid w:val="00847356"/>
    <w:rsid w:val="00851F17"/>
    <w:rsid w:val="00852150"/>
    <w:rsid w:val="0085363F"/>
    <w:rsid w:val="00853699"/>
    <w:rsid w:val="00853747"/>
    <w:rsid w:val="00854F57"/>
    <w:rsid w:val="00855138"/>
    <w:rsid w:val="00855E0B"/>
    <w:rsid w:val="00855F86"/>
    <w:rsid w:val="00855FEA"/>
    <w:rsid w:val="0085626D"/>
    <w:rsid w:val="00856EC1"/>
    <w:rsid w:val="008570C1"/>
    <w:rsid w:val="008577DD"/>
    <w:rsid w:val="00857A19"/>
    <w:rsid w:val="00857C65"/>
    <w:rsid w:val="00857E17"/>
    <w:rsid w:val="008608D3"/>
    <w:rsid w:val="00861B98"/>
    <w:rsid w:val="00861DC4"/>
    <w:rsid w:val="00861E40"/>
    <w:rsid w:val="008623A0"/>
    <w:rsid w:val="008625DD"/>
    <w:rsid w:val="008627B5"/>
    <w:rsid w:val="00863A14"/>
    <w:rsid w:val="00863B83"/>
    <w:rsid w:val="00864510"/>
    <w:rsid w:val="00864B9D"/>
    <w:rsid w:val="0086614B"/>
    <w:rsid w:val="0086617C"/>
    <w:rsid w:val="00866907"/>
    <w:rsid w:val="00866CE1"/>
    <w:rsid w:val="0086702B"/>
    <w:rsid w:val="00867428"/>
    <w:rsid w:val="00867977"/>
    <w:rsid w:val="008701C7"/>
    <w:rsid w:val="00872036"/>
    <w:rsid w:val="00873BA1"/>
    <w:rsid w:val="00873ED9"/>
    <w:rsid w:val="00874B71"/>
    <w:rsid w:val="00874DC2"/>
    <w:rsid w:val="008759A4"/>
    <w:rsid w:val="00875A03"/>
    <w:rsid w:val="00875C12"/>
    <w:rsid w:val="00875D97"/>
    <w:rsid w:val="00876B7F"/>
    <w:rsid w:val="008772E4"/>
    <w:rsid w:val="00877738"/>
    <w:rsid w:val="008777E1"/>
    <w:rsid w:val="008778EA"/>
    <w:rsid w:val="00877C04"/>
    <w:rsid w:val="00880C74"/>
    <w:rsid w:val="00880E83"/>
    <w:rsid w:val="00880F67"/>
    <w:rsid w:val="008815FD"/>
    <w:rsid w:val="0088201C"/>
    <w:rsid w:val="00882E68"/>
    <w:rsid w:val="00882EC5"/>
    <w:rsid w:val="00883B5F"/>
    <w:rsid w:val="00883CF5"/>
    <w:rsid w:val="00884490"/>
    <w:rsid w:val="008844EB"/>
    <w:rsid w:val="0088495B"/>
    <w:rsid w:val="008849B1"/>
    <w:rsid w:val="00884B88"/>
    <w:rsid w:val="00884D3B"/>
    <w:rsid w:val="00884D7A"/>
    <w:rsid w:val="00885C00"/>
    <w:rsid w:val="00885D36"/>
    <w:rsid w:val="008861EF"/>
    <w:rsid w:val="0088629F"/>
    <w:rsid w:val="0088641B"/>
    <w:rsid w:val="00887A43"/>
    <w:rsid w:val="00887C59"/>
    <w:rsid w:val="00890203"/>
    <w:rsid w:val="0089096E"/>
    <w:rsid w:val="00890ABE"/>
    <w:rsid w:val="00891269"/>
    <w:rsid w:val="0089295D"/>
    <w:rsid w:val="00892D2A"/>
    <w:rsid w:val="00893E08"/>
    <w:rsid w:val="00893FDC"/>
    <w:rsid w:val="0089488C"/>
    <w:rsid w:val="0089491F"/>
    <w:rsid w:val="00894C38"/>
    <w:rsid w:val="00894F01"/>
    <w:rsid w:val="008958E7"/>
    <w:rsid w:val="00895F7C"/>
    <w:rsid w:val="00896518"/>
    <w:rsid w:val="00896A6B"/>
    <w:rsid w:val="008A0701"/>
    <w:rsid w:val="008A0B88"/>
    <w:rsid w:val="008A17DF"/>
    <w:rsid w:val="008A1D86"/>
    <w:rsid w:val="008A228B"/>
    <w:rsid w:val="008A24D2"/>
    <w:rsid w:val="008A2C56"/>
    <w:rsid w:val="008A2D6E"/>
    <w:rsid w:val="008A2EC4"/>
    <w:rsid w:val="008A2F80"/>
    <w:rsid w:val="008A328B"/>
    <w:rsid w:val="008A348E"/>
    <w:rsid w:val="008A3E02"/>
    <w:rsid w:val="008A4047"/>
    <w:rsid w:val="008A44CD"/>
    <w:rsid w:val="008A47AA"/>
    <w:rsid w:val="008A4862"/>
    <w:rsid w:val="008A4E3B"/>
    <w:rsid w:val="008A549E"/>
    <w:rsid w:val="008A6612"/>
    <w:rsid w:val="008A6DE2"/>
    <w:rsid w:val="008A73A9"/>
    <w:rsid w:val="008A73B8"/>
    <w:rsid w:val="008A7C10"/>
    <w:rsid w:val="008B0761"/>
    <w:rsid w:val="008B1115"/>
    <w:rsid w:val="008B1DFA"/>
    <w:rsid w:val="008B209E"/>
    <w:rsid w:val="008B2889"/>
    <w:rsid w:val="008B2BE5"/>
    <w:rsid w:val="008B2F27"/>
    <w:rsid w:val="008B32B8"/>
    <w:rsid w:val="008B33D1"/>
    <w:rsid w:val="008B343D"/>
    <w:rsid w:val="008B34EB"/>
    <w:rsid w:val="008B5507"/>
    <w:rsid w:val="008B5AC2"/>
    <w:rsid w:val="008B5BB3"/>
    <w:rsid w:val="008B6FA7"/>
    <w:rsid w:val="008B7ACF"/>
    <w:rsid w:val="008C0D65"/>
    <w:rsid w:val="008C102F"/>
    <w:rsid w:val="008C3C3A"/>
    <w:rsid w:val="008C3F1A"/>
    <w:rsid w:val="008C453A"/>
    <w:rsid w:val="008C4CB9"/>
    <w:rsid w:val="008C4D8D"/>
    <w:rsid w:val="008C4E1F"/>
    <w:rsid w:val="008C593C"/>
    <w:rsid w:val="008C618A"/>
    <w:rsid w:val="008C6802"/>
    <w:rsid w:val="008C6AB9"/>
    <w:rsid w:val="008D15E3"/>
    <w:rsid w:val="008D18C2"/>
    <w:rsid w:val="008D19D6"/>
    <w:rsid w:val="008D1B8B"/>
    <w:rsid w:val="008D2674"/>
    <w:rsid w:val="008D316E"/>
    <w:rsid w:val="008D31DB"/>
    <w:rsid w:val="008D348E"/>
    <w:rsid w:val="008D356D"/>
    <w:rsid w:val="008D3BFB"/>
    <w:rsid w:val="008D3C20"/>
    <w:rsid w:val="008D49FA"/>
    <w:rsid w:val="008D4C7D"/>
    <w:rsid w:val="008D4E50"/>
    <w:rsid w:val="008D52B9"/>
    <w:rsid w:val="008D6582"/>
    <w:rsid w:val="008D73FB"/>
    <w:rsid w:val="008D7AAC"/>
    <w:rsid w:val="008D7AD2"/>
    <w:rsid w:val="008E0D70"/>
    <w:rsid w:val="008E11D4"/>
    <w:rsid w:val="008E133D"/>
    <w:rsid w:val="008E184D"/>
    <w:rsid w:val="008E1B27"/>
    <w:rsid w:val="008E21C2"/>
    <w:rsid w:val="008E2639"/>
    <w:rsid w:val="008E2DCE"/>
    <w:rsid w:val="008E4CC3"/>
    <w:rsid w:val="008E5A04"/>
    <w:rsid w:val="008E613D"/>
    <w:rsid w:val="008E7C8A"/>
    <w:rsid w:val="008F001E"/>
    <w:rsid w:val="008F055E"/>
    <w:rsid w:val="008F06F1"/>
    <w:rsid w:val="008F08CB"/>
    <w:rsid w:val="008F1688"/>
    <w:rsid w:val="008F16D9"/>
    <w:rsid w:val="008F17F5"/>
    <w:rsid w:val="008F1BF3"/>
    <w:rsid w:val="008F1DF7"/>
    <w:rsid w:val="008F2193"/>
    <w:rsid w:val="008F25A0"/>
    <w:rsid w:val="008F25C8"/>
    <w:rsid w:val="008F3315"/>
    <w:rsid w:val="008F395B"/>
    <w:rsid w:val="008F3FE0"/>
    <w:rsid w:val="008F4332"/>
    <w:rsid w:val="008F4A8A"/>
    <w:rsid w:val="008F52FA"/>
    <w:rsid w:val="008F7274"/>
    <w:rsid w:val="009003EA"/>
    <w:rsid w:val="009008FC"/>
    <w:rsid w:val="00900E71"/>
    <w:rsid w:val="00902C40"/>
    <w:rsid w:val="00903173"/>
    <w:rsid w:val="009036B5"/>
    <w:rsid w:val="00903FC5"/>
    <w:rsid w:val="00904CE7"/>
    <w:rsid w:val="00904E40"/>
    <w:rsid w:val="00905679"/>
    <w:rsid w:val="00906558"/>
    <w:rsid w:val="00906E57"/>
    <w:rsid w:val="00907015"/>
    <w:rsid w:val="009070FE"/>
    <w:rsid w:val="009076E2"/>
    <w:rsid w:val="009079FB"/>
    <w:rsid w:val="00910679"/>
    <w:rsid w:val="00910EE9"/>
    <w:rsid w:val="009111E0"/>
    <w:rsid w:val="00911AB0"/>
    <w:rsid w:val="00911C87"/>
    <w:rsid w:val="009127C8"/>
    <w:rsid w:val="00912881"/>
    <w:rsid w:val="00912F51"/>
    <w:rsid w:val="009145C0"/>
    <w:rsid w:val="00914C60"/>
    <w:rsid w:val="00915313"/>
    <w:rsid w:val="00915520"/>
    <w:rsid w:val="00916164"/>
    <w:rsid w:val="00916710"/>
    <w:rsid w:val="00916C41"/>
    <w:rsid w:val="009172E3"/>
    <w:rsid w:val="0091739B"/>
    <w:rsid w:val="00917D76"/>
    <w:rsid w:val="00917F15"/>
    <w:rsid w:val="009203F0"/>
    <w:rsid w:val="009204A1"/>
    <w:rsid w:val="00922A94"/>
    <w:rsid w:val="00923095"/>
    <w:rsid w:val="00923374"/>
    <w:rsid w:val="00923867"/>
    <w:rsid w:val="00923887"/>
    <w:rsid w:val="00924B49"/>
    <w:rsid w:val="009255DC"/>
    <w:rsid w:val="009259EB"/>
    <w:rsid w:val="00925BB6"/>
    <w:rsid w:val="009266E7"/>
    <w:rsid w:val="00926BA0"/>
    <w:rsid w:val="00927093"/>
    <w:rsid w:val="00927E3D"/>
    <w:rsid w:val="009301DF"/>
    <w:rsid w:val="009305AE"/>
    <w:rsid w:val="00931504"/>
    <w:rsid w:val="00931C61"/>
    <w:rsid w:val="00932526"/>
    <w:rsid w:val="00932654"/>
    <w:rsid w:val="0093318D"/>
    <w:rsid w:val="0093371E"/>
    <w:rsid w:val="00934C64"/>
    <w:rsid w:val="00934CF7"/>
    <w:rsid w:val="009361EF"/>
    <w:rsid w:val="009370BA"/>
    <w:rsid w:val="00937987"/>
    <w:rsid w:val="00937BA2"/>
    <w:rsid w:val="00940DAA"/>
    <w:rsid w:val="00941361"/>
    <w:rsid w:val="009414B4"/>
    <w:rsid w:val="009418E6"/>
    <w:rsid w:val="00941D54"/>
    <w:rsid w:val="00942648"/>
    <w:rsid w:val="0094326F"/>
    <w:rsid w:val="009434A6"/>
    <w:rsid w:val="009437E0"/>
    <w:rsid w:val="00943D39"/>
    <w:rsid w:val="009453D1"/>
    <w:rsid w:val="009459F8"/>
    <w:rsid w:val="009460ED"/>
    <w:rsid w:val="00946804"/>
    <w:rsid w:val="009468A4"/>
    <w:rsid w:val="009471C6"/>
    <w:rsid w:val="00947706"/>
    <w:rsid w:val="00950425"/>
    <w:rsid w:val="0095089E"/>
    <w:rsid w:val="009508A4"/>
    <w:rsid w:val="00951655"/>
    <w:rsid w:val="0095225F"/>
    <w:rsid w:val="00952704"/>
    <w:rsid w:val="00952811"/>
    <w:rsid w:val="00953328"/>
    <w:rsid w:val="00953BC8"/>
    <w:rsid w:val="00953E68"/>
    <w:rsid w:val="00954BE4"/>
    <w:rsid w:val="00954CF2"/>
    <w:rsid w:val="00955391"/>
    <w:rsid w:val="0095587B"/>
    <w:rsid w:val="0095651D"/>
    <w:rsid w:val="00956D31"/>
    <w:rsid w:val="00957F44"/>
    <w:rsid w:val="009604AB"/>
    <w:rsid w:val="0096135F"/>
    <w:rsid w:val="00961E3A"/>
    <w:rsid w:val="0096244C"/>
    <w:rsid w:val="00963607"/>
    <w:rsid w:val="009637DB"/>
    <w:rsid w:val="00964AB5"/>
    <w:rsid w:val="00964E66"/>
    <w:rsid w:val="00964F61"/>
    <w:rsid w:val="009652EA"/>
    <w:rsid w:val="0096574B"/>
    <w:rsid w:val="00965D2B"/>
    <w:rsid w:val="00966072"/>
    <w:rsid w:val="00966511"/>
    <w:rsid w:val="00966FC4"/>
    <w:rsid w:val="0096727E"/>
    <w:rsid w:val="009673E7"/>
    <w:rsid w:val="0097045A"/>
    <w:rsid w:val="00971150"/>
    <w:rsid w:val="009716C7"/>
    <w:rsid w:val="00971CB2"/>
    <w:rsid w:val="00972072"/>
    <w:rsid w:val="0097212A"/>
    <w:rsid w:val="009728E5"/>
    <w:rsid w:val="00973053"/>
    <w:rsid w:val="00973640"/>
    <w:rsid w:val="00973821"/>
    <w:rsid w:val="00973871"/>
    <w:rsid w:val="00974E49"/>
    <w:rsid w:val="00974F3E"/>
    <w:rsid w:val="00975396"/>
    <w:rsid w:val="0097549F"/>
    <w:rsid w:val="00976281"/>
    <w:rsid w:val="009769FE"/>
    <w:rsid w:val="00976D0D"/>
    <w:rsid w:val="0097753A"/>
    <w:rsid w:val="00977545"/>
    <w:rsid w:val="0097764A"/>
    <w:rsid w:val="009777DE"/>
    <w:rsid w:val="00977B5F"/>
    <w:rsid w:val="00977EC8"/>
    <w:rsid w:val="0098098F"/>
    <w:rsid w:val="00980B81"/>
    <w:rsid w:val="00980EA4"/>
    <w:rsid w:val="00982208"/>
    <w:rsid w:val="009833ED"/>
    <w:rsid w:val="009834BA"/>
    <w:rsid w:val="009834EC"/>
    <w:rsid w:val="009841BE"/>
    <w:rsid w:val="0098467A"/>
    <w:rsid w:val="00985905"/>
    <w:rsid w:val="00985E9F"/>
    <w:rsid w:val="00986146"/>
    <w:rsid w:val="0098629F"/>
    <w:rsid w:val="00986FD1"/>
    <w:rsid w:val="00987DF1"/>
    <w:rsid w:val="00987E3F"/>
    <w:rsid w:val="00991595"/>
    <w:rsid w:val="00991668"/>
    <w:rsid w:val="009918A6"/>
    <w:rsid w:val="009927C0"/>
    <w:rsid w:val="00992B4F"/>
    <w:rsid w:val="00993530"/>
    <w:rsid w:val="00993582"/>
    <w:rsid w:val="009940CF"/>
    <w:rsid w:val="00994196"/>
    <w:rsid w:val="00995B23"/>
    <w:rsid w:val="00995C9C"/>
    <w:rsid w:val="00996781"/>
    <w:rsid w:val="009971F7"/>
    <w:rsid w:val="009A093E"/>
    <w:rsid w:val="009A0F93"/>
    <w:rsid w:val="009A143B"/>
    <w:rsid w:val="009A14AD"/>
    <w:rsid w:val="009A15FF"/>
    <w:rsid w:val="009A2866"/>
    <w:rsid w:val="009A2E09"/>
    <w:rsid w:val="009A3761"/>
    <w:rsid w:val="009A40E5"/>
    <w:rsid w:val="009A420E"/>
    <w:rsid w:val="009A47F1"/>
    <w:rsid w:val="009A544E"/>
    <w:rsid w:val="009A5534"/>
    <w:rsid w:val="009A5689"/>
    <w:rsid w:val="009A66C7"/>
    <w:rsid w:val="009A750B"/>
    <w:rsid w:val="009A75C8"/>
    <w:rsid w:val="009B077E"/>
    <w:rsid w:val="009B07A7"/>
    <w:rsid w:val="009B2710"/>
    <w:rsid w:val="009B30A5"/>
    <w:rsid w:val="009B3AF9"/>
    <w:rsid w:val="009B4098"/>
    <w:rsid w:val="009B409C"/>
    <w:rsid w:val="009B47A9"/>
    <w:rsid w:val="009B4AAF"/>
    <w:rsid w:val="009B4E09"/>
    <w:rsid w:val="009B4E99"/>
    <w:rsid w:val="009B6075"/>
    <w:rsid w:val="009B634F"/>
    <w:rsid w:val="009B689C"/>
    <w:rsid w:val="009B6D28"/>
    <w:rsid w:val="009B7F7F"/>
    <w:rsid w:val="009C0143"/>
    <w:rsid w:val="009C041E"/>
    <w:rsid w:val="009C0B25"/>
    <w:rsid w:val="009C1133"/>
    <w:rsid w:val="009C1B98"/>
    <w:rsid w:val="009C1DFA"/>
    <w:rsid w:val="009C285A"/>
    <w:rsid w:val="009C2E2E"/>
    <w:rsid w:val="009C2E43"/>
    <w:rsid w:val="009C3357"/>
    <w:rsid w:val="009C358D"/>
    <w:rsid w:val="009C3885"/>
    <w:rsid w:val="009C3AE2"/>
    <w:rsid w:val="009C3C5C"/>
    <w:rsid w:val="009C401A"/>
    <w:rsid w:val="009C5A07"/>
    <w:rsid w:val="009C5A0A"/>
    <w:rsid w:val="009C623B"/>
    <w:rsid w:val="009C6501"/>
    <w:rsid w:val="009C6CE3"/>
    <w:rsid w:val="009C6F70"/>
    <w:rsid w:val="009C797A"/>
    <w:rsid w:val="009C7A47"/>
    <w:rsid w:val="009C7A5E"/>
    <w:rsid w:val="009D0886"/>
    <w:rsid w:val="009D0AB4"/>
    <w:rsid w:val="009D0BAB"/>
    <w:rsid w:val="009D0CD5"/>
    <w:rsid w:val="009D1CF0"/>
    <w:rsid w:val="009D1D93"/>
    <w:rsid w:val="009D20BC"/>
    <w:rsid w:val="009D2233"/>
    <w:rsid w:val="009D2D5E"/>
    <w:rsid w:val="009D3834"/>
    <w:rsid w:val="009D3A8A"/>
    <w:rsid w:val="009D49DC"/>
    <w:rsid w:val="009D5065"/>
    <w:rsid w:val="009D5525"/>
    <w:rsid w:val="009D56DC"/>
    <w:rsid w:val="009D6235"/>
    <w:rsid w:val="009D6731"/>
    <w:rsid w:val="009D7ECA"/>
    <w:rsid w:val="009E13CB"/>
    <w:rsid w:val="009E1595"/>
    <w:rsid w:val="009E1A9F"/>
    <w:rsid w:val="009E4BE1"/>
    <w:rsid w:val="009E5AA7"/>
    <w:rsid w:val="009E5AF8"/>
    <w:rsid w:val="009E5B54"/>
    <w:rsid w:val="009E5D75"/>
    <w:rsid w:val="009E61D0"/>
    <w:rsid w:val="009E6817"/>
    <w:rsid w:val="009E69F7"/>
    <w:rsid w:val="009E6C53"/>
    <w:rsid w:val="009E712C"/>
    <w:rsid w:val="009E72B4"/>
    <w:rsid w:val="009E736B"/>
    <w:rsid w:val="009E798E"/>
    <w:rsid w:val="009E7D05"/>
    <w:rsid w:val="009E7D0F"/>
    <w:rsid w:val="009F007B"/>
    <w:rsid w:val="009F0294"/>
    <w:rsid w:val="009F066C"/>
    <w:rsid w:val="009F0C8D"/>
    <w:rsid w:val="009F0DAA"/>
    <w:rsid w:val="009F24DF"/>
    <w:rsid w:val="009F2864"/>
    <w:rsid w:val="009F38D4"/>
    <w:rsid w:val="009F49F8"/>
    <w:rsid w:val="009F4D75"/>
    <w:rsid w:val="009F54CE"/>
    <w:rsid w:val="009F5E35"/>
    <w:rsid w:val="009F682E"/>
    <w:rsid w:val="009F6DB2"/>
    <w:rsid w:val="009F7404"/>
    <w:rsid w:val="009F770A"/>
    <w:rsid w:val="009F7D50"/>
    <w:rsid w:val="00A00437"/>
    <w:rsid w:val="00A004CB"/>
    <w:rsid w:val="00A0074B"/>
    <w:rsid w:val="00A0080C"/>
    <w:rsid w:val="00A01FDD"/>
    <w:rsid w:val="00A021C3"/>
    <w:rsid w:val="00A02432"/>
    <w:rsid w:val="00A03688"/>
    <w:rsid w:val="00A03DB3"/>
    <w:rsid w:val="00A04508"/>
    <w:rsid w:val="00A04648"/>
    <w:rsid w:val="00A04D91"/>
    <w:rsid w:val="00A057E4"/>
    <w:rsid w:val="00A05FCC"/>
    <w:rsid w:val="00A060F2"/>
    <w:rsid w:val="00A06AFC"/>
    <w:rsid w:val="00A074C1"/>
    <w:rsid w:val="00A07D0A"/>
    <w:rsid w:val="00A11BEF"/>
    <w:rsid w:val="00A11E86"/>
    <w:rsid w:val="00A11E9E"/>
    <w:rsid w:val="00A11F9E"/>
    <w:rsid w:val="00A11FDE"/>
    <w:rsid w:val="00A12245"/>
    <w:rsid w:val="00A124C6"/>
    <w:rsid w:val="00A12AEA"/>
    <w:rsid w:val="00A12EA3"/>
    <w:rsid w:val="00A12EEC"/>
    <w:rsid w:val="00A140D7"/>
    <w:rsid w:val="00A1527C"/>
    <w:rsid w:val="00A15564"/>
    <w:rsid w:val="00A155C8"/>
    <w:rsid w:val="00A17097"/>
    <w:rsid w:val="00A170A5"/>
    <w:rsid w:val="00A17842"/>
    <w:rsid w:val="00A17A54"/>
    <w:rsid w:val="00A17F95"/>
    <w:rsid w:val="00A205D9"/>
    <w:rsid w:val="00A21C63"/>
    <w:rsid w:val="00A227D0"/>
    <w:rsid w:val="00A229B6"/>
    <w:rsid w:val="00A22C71"/>
    <w:rsid w:val="00A22D9D"/>
    <w:rsid w:val="00A23181"/>
    <w:rsid w:val="00A2360A"/>
    <w:rsid w:val="00A23623"/>
    <w:rsid w:val="00A23D6C"/>
    <w:rsid w:val="00A240AB"/>
    <w:rsid w:val="00A2451A"/>
    <w:rsid w:val="00A24828"/>
    <w:rsid w:val="00A24F6F"/>
    <w:rsid w:val="00A251EC"/>
    <w:rsid w:val="00A25A84"/>
    <w:rsid w:val="00A26923"/>
    <w:rsid w:val="00A26C71"/>
    <w:rsid w:val="00A26FBB"/>
    <w:rsid w:val="00A27079"/>
    <w:rsid w:val="00A274C1"/>
    <w:rsid w:val="00A2787E"/>
    <w:rsid w:val="00A27E23"/>
    <w:rsid w:val="00A30621"/>
    <w:rsid w:val="00A30969"/>
    <w:rsid w:val="00A309FC"/>
    <w:rsid w:val="00A32279"/>
    <w:rsid w:val="00A322B3"/>
    <w:rsid w:val="00A32322"/>
    <w:rsid w:val="00A32AB6"/>
    <w:rsid w:val="00A33394"/>
    <w:rsid w:val="00A336D7"/>
    <w:rsid w:val="00A33F62"/>
    <w:rsid w:val="00A35BBE"/>
    <w:rsid w:val="00A35CA4"/>
    <w:rsid w:val="00A364D5"/>
    <w:rsid w:val="00A36601"/>
    <w:rsid w:val="00A36BCF"/>
    <w:rsid w:val="00A37082"/>
    <w:rsid w:val="00A370B4"/>
    <w:rsid w:val="00A37222"/>
    <w:rsid w:val="00A37919"/>
    <w:rsid w:val="00A40048"/>
    <w:rsid w:val="00A40771"/>
    <w:rsid w:val="00A40904"/>
    <w:rsid w:val="00A41850"/>
    <w:rsid w:val="00A41DA0"/>
    <w:rsid w:val="00A428FA"/>
    <w:rsid w:val="00A42C09"/>
    <w:rsid w:val="00A43000"/>
    <w:rsid w:val="00A43283"/>
    <w:rsid w:val="00A43991"/>
    <w:rsid w:val="00A43CE4"/>
    <w:rsid w:val="00A46484"/>
    <w:rsid w:val="00A501C0"/>
    <w:rsid w:val="00A5060A"/>
    <w:rsid w:val="00A51274"/>
    <w:rsid w:val="00A516CF"/>
    <w:rsid w:val="00A519B8"/>
    <w:rsid w:val="00A5215A"/>
    <w:rsid w:val="00A5234B"/>
    <w:rsid w:val="00A52500"/>
    <w:rsid w:val="00A52E59"/>
    <w:rsid w:val="00A537ED"/>
    <w:rsid w:val="00A546EE"/>
    <w:rsid w:val="00A54751"/>
    <w:rsid w:val="00A548D3"/>
    <w:rsid w:val="00A54AEF"/>
    <w:rsid w:val="00A55961"/>
    <w:rsid w:val="00A56027"/>
    <w:rsid w:val="00A562A9"/>
    <w:rsid w:val="00A56CA7"/>
    <w:rsid w:val="00A575A5"/>
    <w:rsid w:val="00A57687"/>
    <w:rsid w:val="00A57990"/>
    <w:rsid w:val="00A610FF"/>
    <w:rsid w:val="00A6132F"/>
    <w:rsid w:val="00A61803"/>
    <w:rsid w:val="00A61D7C"/>
    <w:rsid w:val="00A62FEE"/>
    <w:rsid w:val="00A63334"/>
    <w:rsid w:val="00A6481B"/>
    <w:rsid w:val="00A64921"/>
    <w:rsid w:val="00A6570E"/>
    <w:rsid w:val="00A65898"/>
    <w:rsid w:val="00A65A2B"/>
    <w:rsid w:val="00A66D3A"/>
    <w:rsid w:val="00A678EB"/>
    <w:rsid w:val="00A67B03"/>
    <w:rsid w:val="00A67B95"/>
    <w:rsid w:val="00A703F0"/>
    <w:rsid w:val="00A71914"/>
    <w:rsid w:val="00A71A01"/>
    <w:rsid w:val="00A71E8C"/>
    <w:rsid w:val="00A725A6"/>
    <w:rsid w:val="00A72D2B"/>
    <w:rsid w:val="00A72E1C"/>
    <w:rsid w:val="00A72FAC"/>
    <w:rsid w:val="00A7358A"/>
    <w:rsid w:val="00A748CE"/>
    <w:rsid w:val="00A74B72"/>
    <w:rsid w:val="00A74D0E"/>
    <w:rsid w:val="00A75B4E"/>
    <w:rsid w:val="00A7640C"/>
    <w:rsid w:val="00A76C05"/>
    <w:rsid w:val="00A76C58"/>
    <w:rsid w:val="00A779F6"/>
    <w:rsid w:val="00A80B33"/>
    <w:rsid w:val="00A83138"/>
    <w:rsid w:val="00A831B6"/>
    <w:rsid w:val="00A83720"/>
    <w:rsid w:val="00A84337"/>
    <w:rsid w:val="00A84E04"/>
    <w:rsid w:val="00A859CE"/>
    <w:rsid w:val="00A86670"/>
    <w:rsid w:val="00A86A11"/>
    <w:rsid w:val="00A86C90"/>
    <w:rsid w:val="00A86D6C"/>
    <w:rsid w:val="00A86DD7"/>
    <w:rsid w:val="00A8723A"/>
    <w:rsid w:val="00A8744E"/>
    <w:rsid w:val="00A87579"/>
    <w:rsid w:val="00A90398"/>
    <w:rsid w:val="00A90620"/>
    <w:rsid w:val="00A90C68"/>
    <w:rsid w:val="00A91558"/>
    <w:rsid w:val="00A93997"/>
    <w:rsid w:val="00A93F8E"/>
    <w:rsid w:val="00A94206"/>
    <w:rsid w:val="00A942BD"/>
    <w:rsid w:val="00A949FA"/>
    <w:rsid w:val="00A94DC5"/>
    <w:rsid w:val="00A96BC7"/>
    <w:rsid w:val="00A972C4"/>
    <w:rsid w:val="00A975D3"/>
    <w:rsid w:val="00A978AA"/>
    <w:rsid w:val="00A979E2"/>
    <w:rsid w:val="00AA02A3"/>
    <w:rsid w:val="00AA0F23"/>
    <w:rsid w:val="00AA20D1"/>
    <w:rsid w:val="00AA21B0"/>
    <w:rsid w:val="00AA2592"/>
    <w:rsid w:val="00AA25C2"/>
    <w:rsid w:val="00AA2CC0"/>
    <w:rsid w:val="00AA35F7"/>
    <w:rsid w:val="00AA3D32"/>
    <w:rsid w:val="00AA46C3"/>
    <w:rsid w:val="00AA573A"/>
    <w:rsid w:val="00AA5C55"/>
    <w:rsid w:val="00AA5C81"/>
    <w:rsid w:val="00AA610D"/>
    <w:rsid w:val="00AA6110"/>
    <w:rsid w:val="00AA7382"/>
    <w:rsid w:val="00AA7825"/>
    <w:rsid w:val="00AB037F"/>
    <w:rsid w:val="00AB20D4"/>
    <w:rsid w:val="00AB21BC"/>
    <w:rsid w:val="00AB3F80"/>
    <w:rsid w:val="00AB4068"/>
    <w:rsid w:val="00AB44E4"/>
    <w:rsid w:val="00AB45A3"/>
    <w:rsid w:val="00AB4BB5"/>
    <w:rsid w:val="00AB4BEA"/>
    <w:rsid w:val="00AB4D49"/>
    <w:rsid w:val="00AB55D6"/>
    <w:rsid w:val="00AB66AC"/>
    <w:rsid w:val="00AB6700"/>
    <w:rsid w:val="00AB67BD"/>
    <w:rsid w:val="00AB6A28"/>
    <w:rsid w:val="00AB6B7D"/>
    <w:rsid w:val="00AC0BAA"/>
    <w:rsid w:val="00AC0D78"/>
    <w:rsid w:val="00AC1AD8"/>
    <w:rsid w:val="00AC362B"/>
    <w:rsid w:val="00AC3C02"/>
    <w:rsid w:val="00AC42CC"/>
    <w:rsid w:val="00AC5FC9"/>
    <w:rsid w:val="00AC6204"/>
    <w:rsid w:val="00AC629B"/>
    <w:rsid w:val="00AC651E"/>
    <w:rsid w:val="00AC6709"/>
    <w:rsid w:val="00AC6914"/>
    <w:rsid w:val="00AC6997"/>
    <w:rsid w:val="00AC6DAA"/>
    <w:rsid w:val="00AC6E2E"/>
    <w:rsid w:val="00AC7191"/>
    <w:rsid w:val="00AC7944"/>
    <w:rsid w:val="00AD0098"/>
    <w:rsid w:val="00AD0510"/>
    <w:rsid w:val="00AD0E0E"/>
    <w:rsid w:val="00AD1558"/>
    <w:rsid w:val="00AD19E7"/>
    <w:rsid w:val="00AD20C2"/>
    <w:rsid w:val="00AD2291"/>
    <w:rsid w:val="00AD22B7"/>
    <w:rsid w:val="00AD27D9"/>
    <w:rsid w:val="00AD2833"/>
    <w:rsid w:val="00AD3710"/>
    <w:rsid w:val="00AD3C38"/>
    <w:rsid w:val="00AD4494"/>
    <w:rsid w:val="00AD4BBD"/>
    <w:rsid w:val="00AD505D"/>
    <w:rsid w:val="00AD5B2F"/>
    <w:rsid w:val="00AD6591"/>
    <w:rsid w:val="00AD6698"/>
    <w:rsid w:val="00AD66F1"/>
    <w:rsid w:val="00AD6D35"/>
    <w:rsid w:val="00AD79FA"/>
    <w:rsid w:val="00AD7E8C"/>
    <w:rsid w:val="00AE01CA"/>
    <w:rsid w:val="00AE0A3C"/>
    <w:rsid w:val="00AE0F27"/>
    <w:rsid w:val="00AE10C8"/>
    <w:rsid w:val="00AE1749"/>
    <w:rsid w:val="00AE1752"/>
    <w:rsid w:val="00AE183C"/>
    <w:rsid w:val="00AE1DF0"/>
    <w:rsid w:val="00AE1FBF"/>
    <w:rsid w:val="00AE271E"/>
    <w:rsid w:val="00AE2BF8"/>
    <w:rsid w:val="00AE2F26"/>
    <w:rsid w:val="00AE33FE"/>
    <w:rsid w:val="00AE4B0F"/>
    <w:rsid w:val="00AE5AED"/>
    <w:rsid w:val="00AE5B38"/>
    <w:rsid w:val="00AE6572"/>
    <w:rsid w:val="00AE6B74"/>
    <w:rsid w:val="00AE7BDB"/>
    <w:rsid w:val="00AF0748"/>
    <w:rsid w:val="00AF1EA8"/>
    <w:rsid w:val="00AF4059"/>
    <w:rsid w:val="00AF429A"/>
    <w:rsid w:val="00AF4487"/>
    <w:rsid w:val="00AF455A"/>
    <w:rsid w:val="00AF7B3A"/>
    <w:rsid w:val="00AF7FED"/>
    <w:rsid w:val="00B00003"/>
    <w:rsid w:val="00B00293"/>
    <w:rsid w:val="00B00CA8"/>
    <w:rsid w:val="00B00F95"/>
    <w:rsid w:val="00B00FDD"/>
    <w:rsid w:val="00B02360"/>
    <w:rsid w:val="00B02604"/>
    <w:rsid w:val="00B03A4E"/>
    <w:rsid w:val="00B04F06"/>
    <w:rsid w:val="00B05D3C"/>
    <w:rsid w:val="00B05D42"/>
    <w:rsid w:val="00B0606B"/>
    <w:rsid w:val="00B06515"/>
    <w:rsid w:val="00B0762D"/>
    <w:rsid w:val="00B07BCB"/>
    <w:rsid w:val="00B13084"/>
    <w:rsid w:val="00B134B6"/>
    <w:rsid w:val="00B13728"/>
    <w:rsid w:val="00B138E1"/>
    <w:rsid w:val="00B14A85"/>
    <w:rsid w:val="00B14BE3"/>
    <w:rsid w:val="00B168D2"/>
    <w:rsid w:val="00B16C65"/>
    <w:rsid w:val="00B171A4"/>
    <w:rsid w:val="00B17A97"/>
    <w:rsid w:val="00B21911"/>
    <w:rsid w:val="00B21A16"/>
    <w:rsid w:val="00B222A5"/>
    <w:rsid w:val="00B22A24"/>
    <w:rsid w:val="00B22F4C"/>
    <w:rsid w:val="00B23171"/>
    <w:rsid w:val="00B235B5"/>
    <w:rsid w:val="00B23FC1"/>
    <w:rsid w:val="00B243B0"/>
    <w:rsid w:val="00B24473"/>
    <w:rsid w:val="00B24658"/>
    <w:rsid w:val="00B25531"/>
    <w:rsid w:val="00B25884"/>
    <w:rsid w:val="00B2616D"/>
    <w:rsid w:val="00B262E9"/>
    <w:rsid w:val="00B26BB6"/>
    <w:rsid w:val="00B30B8D"/>
    <w:rsid w:val="00B30E3C"/>
    <w:rsid w:val="00B313CA"/>
    <w:rsid w:val="00B31574"/>
    <w:rsid w:val="00B31AE2"/>
    <w:rsid w:val="00B31F47"/>
    <w:rsid w:val="00B3211C"/>
    <w:rsid w:val="00B323C3"/>
    <w:rsid w:val="00B32857"/>
    <w:rsid w:val="00B328D3"/>
    <w:rsid w:val="00B3319B"/>
    <w:rsid w:val="00B333CE"/>
    <w:rsid w:val="00B34373"/>
    <w:rsid w:val="00B34B5A"/>
    <w:rsid w:val="00B35BB3"/>
    <w:rsid w:val="00B3614D"/>
    <w:rsid w:val="00B363DA"/>
    <w:rsid w:val="00B36DBA"/>
    <w:rsid w:val="00B36EB3"/>
    <w:rsid w:val="00B379DF"/>
    <w:rsid w:val="00B37E3A"/>
    <w:rsid w:val="00B37FA7"/>
    <w:rsid w:val="00B40919"/>
    <w:rsid w:val="00B41E02"/>
    <w:rsid w:val="00B41EE9"/>
    <w:rsid w:val="00B425E6"/>
    <w:rsid w:val="00B42701"/>
    <w:rsid w:val="00B42905"/>
    <w:rsid w:val="00B42D0C"/>
    <w:rsid w:val="00B4339E"/>
    <w:rsid w:val="00B435C2"/>
    <w:rsid w:val="00B43AF6"/>
    <w:rsid w:val="00B43D1E"/>
    <w:rsid w:val="00B44207"/>
    <w:rsid w:val="00B446F7"/>
    <w:rsid w:val="00B44FC8"/>
    <w:rsid w:val="00B4555D"/>
    <w:rsid w:val="00B46A5E"/>
    <w:rsid w:val="00B46B62"/>
    <w:rsid w:val="00B46F2F"/>
    <w:rsid w:val="00B471E3"/>
    <w:rsid w:val="00B4746C"/>
    <w:rsid w:val="00B518B8"/>
    <w:rsid w:val="00B51D19"/>
    <w:rsid w:val="00B53E53"/>
    <w:rsid w:val="00B558EB"/>
    <w:rsid w:val="00B55DED"/>
    <w:rsid w:val="00B55E20"/>
    <w:rsid w:val="00B569FE"/>
    <w:rsid w:val="00B571C1"/>
    <w:rsid w:val="00B5726F"/>
    <w:rsid w:val="00B5738D"/>
    <w:rsid w:val="00B57D98"/>
    <w:rsid w:val="00B57FB5"/>
    <w:rsid w:val="00B6081D"/>
    <w:rsid w:val="00B608C6"/>
    <w:rsid w:val="00B617D5"/>
    <w:rsid w:val="00B61C58"/>
    <w:rsid w:val="00B61D65"/>
    <w:rsid w:val="00B6256F"/>
    <w:rsid w:val="00B62D40"/>
    <w:rsid w:val="00B630F6"/>
    <w:rsid w:val="00B6490A"/>
    <w:rsid w:val="00B64A47"/>
    <w:rsid w:val="00B652DC"/>
    <w:rsid w:val="00B65807"/>
    <w:rsid w:val="00B65C6A"/>
    <w:rsid w:val="00B66138"/>
    <w:rsid w:val="00B6625D"/>
    <w:rsid w:val="00B662B6"/>
    <w:rsid w:val="00B66923"/>
    <w:rsid w:val="00B66C9E"/>
    <w:rsid w:val="00B70A69"/>
    <w:rsid w:val="00B71447"/>
    <w:rsid w:val="00B73613"/>
    <w:rsid w:val="00B7445D"/>
    <w:rsid w:val="00B7502D"/>
    <w:rsid w:val="00B750F8"/>
    <w:rsid w:val="00B75960"/>
    <w:rsid w:val="00B7625F"/>
    <w:rsid w:val="00B76CF7"/>
    <w:rsid w:val="00B8031F"/>
    <w:rsid w:val="00B807FA"/>
    <w:rsid w:val="00B80F4A"/>
    <w:rsid w:val="00B81B0E"/>
    <w:rsid w:val="00B81C0B"/>
    <w:rsid w:val="00B81F7A"/>
    <w:rsid w:val="00B825DF"/>
    <w:rsid w:val="00B8269E"/>
    <w:rsid w:val="00B82ECF"/>
    <w:rsid w:val="00B83234"/>
    <w:rsid w:val="00B832AB"/>
    <w:rsid w:val="00B83BA2"/>
    <w:rsid w:val="00B83D59"/>
    <w:rsid w:val="00B84366"/>
    <w:rsid w:val="00B84474"/>
    <w:rsid w:val="00B84C87"/>
    <w:rsid w:val="00B8509C"/>
    <w:rsid w:val="00B85E2F"/>
    <w:rsid w:val="00B85ED8"/>
    <w:rsid w:val="00B87ECC"/>
    <w:rsid w:val="00B90B4A"/>
    <w:rsid w:val="00B91127"/>
    <w:rsid w:val="00B91228"/>
    <w:rsid w:val="00B91577"/>
    <w:rsid w:val="00B92644"/>
    <w:rsid w:val="00B927FC"/>
    <w:rsid w:val="00B93535"/>
    <w:rsid w:val="00B9371B"/>
    <w:rsid w:val="00B937DA"/>
    <w:rsid w:val="00B94141"/>
    <w:rsid w:val="00B942C6"/>
    <w:rsid w:val="00B9445A"/>
    <w:rsid w:val="00B94B82"/>
    <w:rsid w:val="00B9548F"/>
    <w:rsid w:val="00B95918"/>
    <w:rsid w:val="00B9591A"/>
    <w:rsid w:val="00B95C24"/>
    <w:rsid w:val="00B95E18"/>
    <w:rsid w:val="00B9610D"/>
    <w:rsid w:val="00B963D7"/>
    <w:rsid w:val="00B9641B"/>
    <w:rsid w:val="00B965F4"/>
    <w:rsid w:val="00B96AF6"/>
    <w:rsid w:val="00B96CE1"/>
    <w:rsid w:val="00B977F8"/>
    <w:rsid w:val="00B97C86"/>
    <w:rsid w:val="00B97DD5"/>
    <w:rsid w:val="00BA01CC"/>
    <w:rsid w:val="00BA03DC"/>
    <w:rsid w:val="00BA0444"/>
    <w:rsid w:val="00BA0719"/>
    <w:rsid w:val="00BA0C0B"/>
    <w:rsid w:val="00BA0C6E"/>
    <w:rsid w:val="00BA1AE8"/>
    <w:rsid w:val="00BA1E74"/>
    <w:rsid w:val="00BA27CF"/>
    <w:rsid w:val="00BA2FAC"/>
    <w:rsid w:val="00BA3A5D"/>
    <w:rsid w:val="00BA4929"/>
    <w:rsid w:val="00BA6783"/>
    <w:rsid w:val="00BA6951"/>
    <w:rsid w:val="00BA6D32"/>
    <w:rsid w:val="00BB021B"/>
    <w:rsid w:val="00BB04D0"/>
    <w:rsid w:val="00BB1754"/>
    <w:rsid w:val="00BB22A2"/>
    <w:rsid w:val="00BB31D9"/>
    <w:rsid w:val="00BB44F6"/>
    <w:rsid w:val="00BB5473"/>
    <w:rsid w:val="00BB59A4"/>
    <w:rsid w:val="00BB5B66"/>
    <w:rsid w:val="00BB62A1"/>
    <w:rsid w:val="00BB63AB"/>
    <w:rsid w:val="00BC01FD"/>
    <w:rsid w:val="00BC0F55"/>
    <w:rsid w:val="00BC19EF"/>
    <w:rsid w:val="00BC24A2"/>
    <w:rsid w:val="00BC2AFE"/>
    <w:rsid w:val="00BC3148"/>
    <w:rsid w:val="00BC3884"/>
    <w:rsid w:val="00BC3CF7"/>
    <w:rsid w:val="00BC3FB8"/>
    <w:rsid w:val="00BC42BE"/>
    <w:rsid w:val="00BC47A0"/>
    <w:rsid w:val="00BC486C"/>
    <w:rsid w:val="00BC5437"/>
    <w:rsid w:val="00BC5E41"/>
    <w:rsid w:val="00BC6588"/>
    <w:rsid w:val="00BC764F"/>
    <w:rsid w:val="00BC767B"/>
    <w:rsid w:val="00BC774F"/>
    <w:rsid w:val="00BD0D94"/>
    <w:rsid w:val="00BD0E55"/>
    <w:rsid w:val="00BD115E"/>
    <w:rsid w:val="00BD12E2"/>
    <w:rsid w:val="00BD22EF"/>
    <w:rsid w:val="00BD2B9A"/>
    <w:rsid w:val="00BD35ED"/>
    <w:rsid w:val="00BD392C"/>
    <w:rsid w:val="00BD3B2E"/>
    <w:rsid w:val="00BD4550"/>
    <w:rsid w:val="00BD5437"/>
    <w:rsid w:val="00BD587E"/>
    <w:rsid w:val="00BD5A06"/>
    <w:rsid w:val="00BD6C13"/>
    <w:rsid w:val="00BD7035"/>
    <w:rsid w:val="00BD711F"/>
    <w:rsid w:val="00BD71C7"/>
    <w:rsid w:val="00BD7AD2"/>
    <w:rsid w:val="00BD7C85"/>
    <w:rsid w:val="00BE0897"/>
    <w:rsid w:val="00BE13C7"/>
    <w:rsid w:val="00BE1DB8"/>
    <w:rsid w:val="00BE233E"/>
    <w:rsid w:val="00BE264F"/>
    <w:rsid w:val="00BE26AD"/>
    <w:rsid w:val="00BE29BB"/>
    <w:rsid w:val="00BE3AB5"/>
    <w:rsid w:val="00BE4163"/>
    <w:rsid w:val="00BE4201"/>
    <w:rsid w:val="00BE46FE"/>
    <w:rsid w:val="00BE4D5C"/>
    <w:rsid w:val="00BE4E3C"/>
    <w:rsid w:val="00BE5013"/>
    <w:rsid w:val="00BE51F2"/>
    <w:rsid w:val="00BE56DB"/>
    <w:rsid w:val="00BE5D8E"/>
    <w:rsid w:val="00BE63D9"/>
    <w:rsid w:val="00BE65E0"/>
    <w:rsid w:val="00BE6E81"/>
    <w:rsid w:val="00BF0496"/>
    <w:rsid w:val="00BF0B50"/>
    <w:rsid w:val="00BF0BBB"/>
    <w:rsid w:val="00BF1122"/>
    <w:rsid w:val="00BF1136"/>
    <w:rsid w:val="00BF169F"/>
    <w:rsid w:val="00BF1B05"/>
    <w:rsid w:val="00BF1E3C"/>
    <w:rsid w:val="00BF1EF5"/>
    <w:rsid w:val="00BF1F7E"/>
    <w:rsid w:val="00BF28F1"/>
    <w:rsid w:val="00BF2ADC"/>
    <w:rsid w:val="00BF2BF8"/>
    <w:rsid w:val="00BF2C97"/>
    <w:rsid w:val="00BF30B7"/>
    <w:rsid w:val="00BF3854"/>
    <w:rsid w:val="00BF3AC4"/>
    <w:rsid w:val="00BF3DB9"/>
    <w:rsid w:val="00BF3FDD"/>
    <w:rsid w:val="00BF4399"/>
    <w:rsid w:val="00BF4E33"/>
    <w:rsid w:val="00BF54A5"/>
    <w:rsid w:val="00BF5790"/>
    <w:rsid w:val="00BF5B73"/>
    <w:rsid w:val="00C00FA1"/>
    <w:rsid w:val="00C012ED"/>
    <w:rsid w:val="00C02C1E"/>
    <w:rsid w:val="00C0347A"/>
    <w:rsid w:val="00C047CA"/>
    <w:rsid w:val="00C04B30"/>
    <w:rsid w:val="00C0518C"/>
    <w:rsid w:val="00C05FCC"/>
    <w:rsid w:val="00C061D2"/>
    <w:rsid w:val="00C0665D"/>
    <w:rsid w:val="00C105A6"/>
    <w:rsid w:val="00C108D3"/>
    <w:rsid w:val="00C108E9"/>
    <w:rsid w:val="00C10A07"/>
    <w:rsid w:val="00C10AB2"/>
    <w:rsid w:val="00C11011"/>
    <w:rsid w:val="00C11DDC"/>
    <w:rsid w:val="00C120E9"/>
    <w:rsid w:val="00C12963"/>
    <w:rsid w:val="00C13215"/>
    <w:rsid w:val="00C13AD9"/>
    <w:rsid w:val="00C14CEF"/>
    <w:rsid w:val="00C157C0"/>
    <w:rsid w:val="00C1581D"/>
    <w:rsid w:val="00C158A9"/>
    <w:rsid w:val="00C1711C"/>
    <w:rsid w:val="00C172BF"/>
    <w:rsid w:val="00C17FD0"/>
    <w:rsid w:val="00C20A5F"/>
    <w:rsid w:val="00C21A7F"/>
    <w:rsid w:val="00C2277F"/>
    <w:rsid w:val="00C22A39"/>
    <w:rsid w:val="00C23C98"/>
    <w:rsid w:val="00C23E56"/>
    <w:rsid w:val="00C241A9"/>
    <w:rsid w:val="00C24544"/>
    <w:rsid w:val="00C24E45"/>
    <w:rsid w:val="00C24EAE"/>
    <w:rsid w:val="00C2504C"/>
    <w:rsid w:val="00C250DA"/>
    <w:rsid w:val="00C25C9E"/>
    <w:rsid w:val="00C261B5"/>
    <w:rsid w:val="00C265EE"/>
    <w:rsid w:val="00C26E29"/>
    <w:rsid w:val="00C271F3"/>
    <w:rsid w:val="00C27D9B"/>
    <w:rsid w:val="00C30386"/>
    <w:rsid w:val="00C3075B"/>
    <w:rsid w:val="00C30ACA"/>
    <w:rsid w:val="00C30DB2"/>
    <w:rsid w:val="00C3163B"/>
    <w:rsid w:val="00C31DBF"/>
    <w:rsid w:val="00C31E30"/>
    <w:rsid w:val="00C31FDE"/>
    <w:rsid w:val="00C32EB0"/>
    <w:rsid w:val="00C33611"/>
    <w:rsid w:val="00C3472F"/>
    <w:rsid w:val="00C34832"/>
    <w:rsid w:val="00C34E04"/>
    <w:rsid w:val="00C34FDE"/>
    <w:rsid w:val="00C35180"/>
    <w:rsid w:val="00C35BE1"/>
    <w:rsid w:val="00C35C65"/>
    <w:rsid w:val="00C35DE0"/>
    <w:rsid w:val="00C36096"/>
    <w:rsid w:val="00C369D0"/>
    <w:rsid w:val="00C379C5"/>
    <w:rsid w:val="00C40208"/>
    <w:rsid w:val="00C40686"/>
    <w:rsid w:val="00C40A93"/>
    <w:rsid w:val="00C40BDC"/>
    <w:rsid w:val="00C412BD"/>
    <w:rsid w:val="00C4265E"/>
    <w:rsid w:val="00C43285"/>
    <w:rsid w:val="00C432BA"/>
    <w:rsid w:val="00C43C24"/>
    <w:rsid w:val="00C44675"/>
    <w:rsid w:val="00C45009"/>
    <w:rsid w:val="00C45036"/>
    <w:rsid w:val="00C453E6"/>
    <w:rsid w:val="00C4591C"/>
    <w:rsid w:val="00C459B8"/>
    <w:rsid w:val="00C45A8A"/>
    <w:rsid w:val="00C463B3"/>
    <w:rsid w:val="00C47E83"/>
    <w:rsid w:val="00C507DE"/>
    <w:rsid w:val="00C51A62"/>
    <w:rsid w:val="00C51A75"/>
    <w:rsid w:val="00C51AE8"/>
    <w:rsid w:val="00C51BA4"/>
    <w:rsid w:val="00C51E71"/>
    <w:rsid w:val="00C52E06"/>
    <w:rsid w:val="00C5326B"/>
    <w:rsid w:val="00C57620"/>
    <w:rsid w:val="00C57C8F"/>
    <w:rsid w:val="00C57F23"/>
    <w:rsid w:val="00C618EA"/>
    <w:rsid w:val="00C61C88"/>
    <w:rsid w:val="00C63093"/>
    <w:rsid w:val="00C63FA0"/>
    <w:rsid w:val="00C6415A"/>
    <w:rsid w:val="00C6482C"/>
    <w:rsid w:val="00C64922"/>
    <w:rsid w:val="00C654DF"/>
    <w:rsid w:val="00C661C0"/>
    <w:rsid w:val="00C661D2"/>
    <w:rsid w:val="00C6676C"/>
    <w:rsid w:val="00C6691E"/>
    <w:rsid w:val="00C670AD"/>
    <w:rsid w:val="00C67514"/>
    <w:rsid w:val="00C704A2"/>
    <w:rsid w:val="00C7055B"/>
    <w:rsid w:val="00C70A5D"/>
    <w:rsid w:val="00C70CFC"/>
    <w:rsid w:val="00C7104E"/>
    <w:rsid w:val="00C717E5"/>
    <w:rsid w:val="00C71CF6"/>
    <w:rsid w:val="00C72702"/>
    <w:rsid w:val="00C72CBC"/>
    <w:rsid w:val="00C7359E"/>
    <w:rsid w:val="00C73D91"/>
    <w:rsid w:val="00C73F2C"/>
    <w:rsid w:val="00C7417E"/>
    <w:rsid w:val="00C745D3"/>
    <w:rsid w:val="00C74C88"/>
    <w:rsid w:val="00C74D20"/>
    <w:rsid w:val="00C75641"/>
    <w:rsid w:val="00C75A87"/>
    <w:rsid w:val="00C75AB2"/>
    <w:rsid w:val="00C75B2A"/>
    <w:rsid w:val="00C76059"/>
    <w:rsid w:val="00C77382"/>
    <w:rsid w:val="00C77DC3"/>
    <w:rsid w:val="00C80295"/>
    <w:rsid w:val="00C808A5"/>
    <w:rsid w:val="00C81240"/>
    <w:rsid w:val="00C814DE"/>
    <w:rsid w:val="00C81D61"/>
    <w:rsid w:val="00C82059"/>
    <w:rsid w:val="00C8230A"/>
    <w:rsid w:val="00C826AB"/>
    <w:rsid w:val="00C82F3E"/>
    <w:rsid w:val="00C82F7A"/>
    <w:rsid w:val="00C83526"/>
    <w:rsid w:val="00C83AC6"/>
    <w:rsid w:val="00C83BDF"/>
    <w:rsid w:val="00C8483A"/>
    <w:rsid w:val="00C851D1"/>
    <w:rsid w:val="00C85991"/>
    <w:rsid w:val="00C85F5F"/>
    <w:rsid w:val="00C865C3"/>
    <w:rsid w:val="00C86AA3"/>
    <w:rsid w:val="00C87422"/>
    <w:rsid w:val="00C87430"/>
    <w:rsid w:val="00C87C5C"/>
    <w:rsid w:val="00C87D64"/>
    <w:rsid w:val="00C87E97"/>
    <w:rsid w:val="00C9081B"/>
    <w:rsid w:val="00C90B80"/>
    <w:rsid w:val="00C91501"/>
    <w:rsid w:val="00C91F84"/>
    <w:rsid w:val="00C9422A"/>
    <w:rsid w:val="00C942AB"/>
    <w:rsid w:val="00C9432A"/>
    <w:rsid w:val="00C94848"/>
    <w:rsid w:val="00C9517A"/>
    <w:rsid w:val="00C95511"/>
    <w:rsid w:val="00C95EB5"/>
    <w:rsid w:val="00C9614D"/>
    <w:rsid w:val="00C96A9F"/>
    <w:rsid w:val="00C97F23"/>
    <w:rsid w:val="00CA0704"/>
    <w:rsid w:val="00CA1C3C"/>
    <w:rsid w:val="00CA25B7"/>
    <w:rsid w:val="00CA2719"/>
    <w:rsid w:val="00CA2816"/>
    <w:rsid w:val="00CA282A"/>
    <w:rsid w:val="00CA2FBA"/>
    <w:rsid w:val="00CA3376"/>
    <w:rsid w:val="00CA3A68"/>
    <w:rsid w:val="00CA4130"/>
    <w:rsid w:val="00CA4592"/>
    <w:rsid w:val="00CA67BF"/>
    <w:rsid w:val="00CA708B"/>
    <w:rsid w:val="00CA754A"/>
    <w:rsid w:val="00CA7F96"/>
    <w:rsid w:val="00CB0592"/>
    <w:rsid w:val="00CB0F18"/>
    <w:rsid w:val="00CB1A42"/>
    <w:rsid w:val="00CB23DB"/>
    <w:rsid w:val="00CB26D9"/>
    <w:rsid w:val="00CB2775"/>
    <w:rsid w:val="00CB397B"/>
    <w:rsid w:val="00CB5191"/>
    <w:rsid w:val="00CB5D03"/>
    <w:rsid w:val="00CB5DE6"/>
    <w:rsid w:val="00CB608F"/>
    <w:rsid w:val="00CB612C"/>
    <w:rsid w:val="00CB6574"/>
    <w:rsid w:val="00CB6994"/>
    <w:rsid w:val="00CB69D4"/>
    <w:rsid w:val="00CB70E2"/>
    <w:rsid w:val="00CC0026"/>
    <w:rsid w:val="00CC0682"/>
    <w:rsid w:val="00CC0723"/>
    <w:rsid w:val="00CC088B"/>
    <w:rsid w:val="00CC134F"/>
    <w:rsid w:val="00CC28DD"/>
    <w:rsid w:val="00CC32B7"/>
    <w:rsid w:val="00CC37B7"/>
    <w:rsid w:val="00CC3989"/>
    <w:rsid w:val="00CC44D4"/>
    <w:rsid w:val="00CC48B8"/>
    <w:rsid w:val="00CC5DFC"/>
    <w:rsid w:val="00CC6198"/>
    <w:rsid w:val="00CC6776"/>
    <w:rsid w:val="00CC6F26"/>
    <w:rsid w:val="00CC70DD"/>
    <w:rsid w:val="00CD059F"/>
    <w:rsid w:val="00CD1473"/>
    <w:rsid w:val="00CD17D6"/>
    <w:rsid w:val="00CD1CA7"/>
    <w:rsid w:val="00CD2A3C"/>
    <w:rsid w:val="00CD2D46"/>
    <w:rsid w:val="00CD398C"/>
    <w:rsid w:val="00CD3DBC"/>
    <w:rsid w:val="00CD5B64"/>
    <w:rsid w:val="00CD62E0"/>
    <w:rsid w:val="00CD65C1"/>
    <w:rsid w:val="00CD6CDC"/>
    <w:rsid w:val="00CD6FE3"/>
    <w:rsid w:val="00CD70F7"/>
    <w:rsid w:val="00CD7910"/>
    <w:rsid w:val="00CE035D"/>
    <w:rsid w:val="00CE04DC"/>
    <w:rsid w:val="00CE06EA"/>
    <w:rsid w:val="00CE0EA7"/>
    <w:rsid w:val="00CE1101"/>
    <w:rsid w:val="00CE130F"/>
    <w:rsid w:val="00CE1ED1"/>
    <w:rsid w:val="00CE209B"/>
    <w:rsid w:val="00CE242F"/>
    <w:rsid w:val="00CE2C98"/>
    <w:rsid w:val="00CE33BC"/>
    <w:rsid w:val="00CE34E7"/>
    <w:rsid w:val="00CE3AFE"/>
    <w:rsid w:val="00CE47DF"/>
    <w:rsid w:val="00CE4E03"/>
    <w:rsid w:val="00CE4F4C"/>
    <w:rsid w:val="00CE50F0"/>
    <w:rsid w:val="00CE62BA"/>
    <w:rsid w:val="00CE69A4"/>
    <w:rsid w:val="00CE79A6"/>
    <w:rsid w:val="00CE7B65"/>
    <w:rsid w:val="00CF02E8"/>
    <w:rsid w:val="00CF0D2A"/>
    <w:rsid w:val="00CF0E22"/>
    <w:rsid w:val="00CF18B3"/>
    <w:rsid w:val="00CF1A75"/>
    <w:rsid w:val="00CF1B8C"/>
    <w:rsid w:val="00CF1B8F"/>
    <w:rsid w:val="00CF1FEE"/>
    <w:rsid w:val="00CF2D73"/>
    <w:rsid w:val="00CF2E67"/>
    <w:rsid w:val="00CF2F63"/>
    <w:rsid w:val="00CF38C9"/>
    <w:rsid w:val="00CF39D1"/>
    <w:rsid w:val="00CF44DC"/>
    <w:rsid w:val="00CF5B39"/>
    <w:rsid w:val="00CF5CC4"/>
    <w:rsid w:val="00CF5CCC"/>
    <w:rsid w:val="00CF60A0"/>
    <w:rsid w:val="00CF6427"/>
    <w:rsid w:val="00CF6AF8"/>
    <w:rsid w:val="00CF6F6F"/>
    <w:rsid w:val="00CF6F86"/>
    <w:rsid w:val="00CF7268"/>
    <w:rsid w:val="00D00402"/>
    <w:rsid w:val="00D004E5"/>
    <w:rsid w:val="00D004F4"/>
    <w:rsid w:val="00D00676"/>
    <w:rsid w:val="00D008CB"/>
    <w:rsid w:val="00D00FAF"/>
    <w:rsid w:val="00D010AF"/>
    <w:rsid w:val="00D011BB"/>
    <w:rsid w:val="00D01822"/>
    <w:rsid w:val="00D01FE7"/>
    <w:rsid w:val="00D0265E"/>
    <w:rsid w:val="00D026E9"/>
    <w:rsid w:val="00D02DD1"/>
    <w:rsid w:val="00D030B1"/>
    <w:rsid w:val="00D03302"/>
    <w:rsid w:val="00D03F26"/>
    <w:rsid w:val="00D0433D"/>
    <w:rsid w:val="00D04A75"/>
    <w:rsid w:val="00D05567"/>
    <w:rsid w:val="00D061EE"/>
    <w:rsid w:val="00D06541"/>
    <w:rsid w:val="00D06A61"/>
    <w:rsid w:val="00D06CFA"/>
    <w:rsid w:val="00D07722"/>
    <w:rsid w:val="00D07CC1"/>
    <w:rsid w:val="00D07E6B"/>
    <w:rsid w:val="00D10164"/>
    <w:rsid w:val="00D11059"/>
    <w:rsid w:val="00D1109B"/>
    <w:rsid w:val="00D1158F"/>
    <w:rsid w:val="00D11893"/>
    <w:rsid w:val="00D12098"/>
    <w:rsid w:val="00D123D8"/>
    <w:rsid w:val="00D1292A"/>
    <w:rsid w:val="00D12978"/>
    <w:rsid w:val="00D13A32"/>
    <w:rsid w:val="00D13D91"/>
    <w:rsid w:val="00D14D39"/>
    <w:rsid w:val="00D15B53"/>
    <w:rsid w:val="00D1667A"/>
    <w:rsid w:val="00D167CB"/>
    <w:rsid w:val="00D16CA8"/>
    <w:rsid w:val="00D17221"/>
    <w:rsid w:val="00D205E9"/>
    <w:rsid w:val="00D207D4"/>
    <w:rsid w:val="00D208E7"/>
    <w:rsid w:val="00D20FC0"/>
    <w:rsid w:val="00D21442"/>
    <w:rsid w:val="00D214B5"/>
    <w:rsid w:val="00D219CB"/>
    <w:rsid w:val="00D231D5"/>
    <w:rsid w:val="00D23A3E"/>
    <w:rsid w:val="00D24021"/>
    <w:rsid w:val="00D24617"/>
    <w:rsid w:val="00D25741"/>
    <w:rsid w:val="00D2678D"/>
    <w:rsid w:val="00D26C12"/>
    <w:rsid w:val="00D26F59"/>
    <w:rsid w:val="00D2717F"/>
    <w:rsid w:val="00D27BB6"/>
    <w:rsid w:val="00D308B1"/>
    <w:rsid w:val="00D30CCA"/>
    <w:rsid w:val="00D30ECC"/>
    <w:rsid w:val="00D318BA"/>
    <w:rsid w:val="00D31C38"/>
    <w:rsid w:val="00D31F91"/>
    <w:rsid w:val="00D32ECE"/>
    <w:rsid w:val="00D35121"/>
    <w:rsid w:val="00D375A7"/>
    <w:rsid w:val="00D40B7B"/>
    <w:rsid w:val="00D40B87"/>
    <w:rsid w:val="00D40C2E"/>
    <w:rsid w:val="00D40FD8"/>
    <w:rsid w:val="00D4115B"/>
    <w:rsid w:val="00D414E5"/>
    <w:rsid w:val="00D41ADB"/>
    <w:rsid w:val="00D4357D"/>
    <w:rsid w:val="00D43737"/>
    <w:rsid w:val="00D44539"/>
    <w:rsid w:val="00D445C8"/>
    <w:rsid w:val="00D447DD"/>
    <w:rsid w:val="00D447ED"/>
    <w:rsid w:val="00D45445"/>
    <w:rsid w:val="00D45639"/>
    <w:rsid w:val="00D45B61"/>
    <w:rsid w:val="00D4643B"/>
    <w:rsid w:val="00D46603"/>
    <w:rsid w:val="00D4679A"/>
    <w:rsid w:val="00D468F5"/>
    <w:rsid w:val="00D469E6"/>
    <w:rsid w:val="00D46BC6"/>
    <w:rsid w:val="00D46E93"/>
    <w:rsid w:val="00D46F23"/>
    <w:rsid w:val="00D477D5"/>
    <w:rsid w:val="00D478C1"/>
    <w:rsid w:val="00D47E0B"/>
    <w:rsid w:val="00D47F9F"/>
    <w:rsid w:val="00D5065B"/>
    <w:rsid w:val="00D511F9"/>
    <w:rsid w:val="00D51458"/>
    <w:rsid w:val="00D5151A"/>
    <w:rsid w:val="00D5166C"/>
    <w:rsid w:val="00D52612"/>
    <w:rsid w:val="00D529F5"/>
    <w:rsid w:val="00D52FD1"/>
    <w:rsid w:val="00D53874"/>
    <w:rsid w:val="00D539CF"/>
    <w:rsid w:val="00D53D20"/>
    <w:rsid w:val="00D54131"/>
    <w:rsid w:val="00D54293"/>
    <w:rsid w:val="00D544A1"/>
    <w:rsid w:val="00D54E71"/>
    <w:rsid w:val="00D55010"/>
    <w:rsid w:val="00D56212"/>
    <w:rsid w:val="00D5637C"/>
    <w:rsid w:val="00D5689B"/>
    <w:rsid w:val="00D56975"/>
    <w:rsid w:val="00D5752C"/>
    <w:rsid w:val="00D577AD"/>
    <w:rsid w:val="00D60DC3"/>
    <w:rsid w:val="00D61ACC"/>
    <w:rsid w:val="00D61F8A"/>
    <w:rsid w:val="00D6299B"/>
    <w:rsid w:val="00D63539"/>
    <w:rsid w:val="00D63812"/>
    <w:rsid w:val="00D63BD2"/>
    <w:rsid w:val="00D65FE7"/>
    <w:rsid w:val="00D6622C"/>
    <w:rsid w:val="00D6630E"/>
    <w:rsid w:val="00D663DD"/>
    <w:rsid w:val="00D664A6"/>
    <w:rsid w:val="00D668D5"/>
    <w:rsid w:val="00D67388"/>
    <w:rsid w:val="00D67563"/>
    <w:rsid w:val="00D705A7"/>
    <w:rsid w:val="00D71D14"/>
    <w:rsid w:val="00D722E8"/>
    <w:rsid w:val="00D72395"/>
    <w:rsid w:val="00D7321B"/>
    <w:rsid w:val="00D73560"/>
    <w:rsid w:val="00D73783"/>
    <w:rsid w:val="00D739D9"/>
    <w:rsid w:val="00D7439D"/>
    <w:rsid w:val="00D74CD7"/>
    <w:rsid w:val="00D74F40"/>
    <w:rsid w:val="00D75081"/>
    <w:rsid w:val="00D7532D"/>
    <w:rsid w:val="00D76215"/>
    <w:rsid w:val="00D7669F"/>
    <w:rsid w:val="00D77022"/>
    <w:rsid w:val="00D77428"/>
    <w:rsid w:val="00D77747"/>
    <w:rsid w:val="00D80A0C"/>
    <w:rsid w:val="00D81FF2"/>
    <w:rsid w:val="00D8289A"/>
    <w:rsid w:val="00D82EF2"/>
    <w:rsid w:val="00D83ACB"/>
    <w:rsid w:val="00D8400F"/>
    <w:rsid w:val="00D86B44"/>
    <w:rsid w:val="00D8706D"/>
    <w:rsid w:val="00D877AE"/>
    <w:rsid w:val="00D87D19"/>
    <w:rsid w:val="00D87F4F"/>
    <w:rsid w:val="00D9057F"/>
    <w:rsid w:val="00D90EDE"/>
    <w:rsid w:val="00D90FB9"/>
    <w:rsid w:val="00D92E59"/>
    <w:rsid w:val="00D94579"/>
    <w:rsid w:val="00D949B5"/>
    <w:rsid w:val="00D95FF7"/>
    <w:rsid w:val="00D9648C"/>
    <w:rsid w:val="00D96EFC"/>
    <w:rsid w:val="00D9794A"/>
    <w:rsid w:val="00DA086B"/>
    <w:rsid w:val="00DA08BE"/>
    <w:rsid w:val="00DA0AA0"/>
    <w:rsid w:val="00DA1488"/>
    <w:rsid w:val="00DA20EB"/>
    <w:rsid w:val="00DA29F2"/>
    <w:rsid w:val="00DA2E96"/>
    <w:rsid w:val="00DA341D"/>
    <w:rsid w:val="00DA3E56"/>
    <w:rsid w:val="00DA45D3"/>
    <w:rsid w:val="00DA4666"/>
    <w:rsid w:val="00DA4E72"/>
    <w:rsid w:val="00DA4EF8"/>
    <w:rsid w:val="00DA5D6B"/>
    <w:rsid w:val="00DA5F5D"/>
    <w:rsid w:val="00DA6660"/>
    <w:rsid w:val="00DA6E5B"/>
    <w:rsid w:val="00DA75EF"/>
    <w:rsid w:val="00DB08BB"/>
    <w:rsid w:val="00DB1027"/>
    <w:rsid w:val="00DB1826"/>
    <w:rsid w:val="00DB1AF1"/>
    <w:rsid w:val="00DB1C8F"/>
    <w:rsid w:val="00DB1D7A"/>
    <w:rsid w:val="00DB2A03"/>
    <w:rsid w:val="00DB2A62"/>
    <w:rsid w:val="00DB2EFF"/>
    <w:rsid w:val="00DB38B4"/>
    <w:rsid w:val="00DB3B0E"/>
    <w:rsid w:val="00DB4787"/>
    <w:rsid w:val="00DB4A1C"/>
    <w:rsid w:val="00DB4AC4"/>
    <w:rsid w:val="00DB4B92"/>
    <w:rsid w:val="00DB55DF"/>
    <w:rsid w:val="00DB5762"/>
    <w:rsid w:val="00DB5769"/>
    <w:rsid w:val="00DB66BD"/>
    <w:rsid w:val="00DB677C"/>
    <w:rsid w:val="00DB7706"/>
    <w:rsid w:val="00DB7ABE"/>
    <w:rsid w:val="00DB7DC6"/>
    <w:rsid w:val="00DC01A3"/>
    <w:rsid w:val="00DC078C"/>
    <w:rsid w:val="00DC137A"/>
    <w:rsid w:val="00DC1A5E"/>
    <w:rsid w:val="00DC2763"/>
    <w:rsid w:val="00DC2CB1"/>
    <w:rsid w:val="00DC2E86"/>
    <w:rsid w:val="00DC2F1D"/>
    <w:rsid w:val="00DC309F"/>
    <w:rsid w:val="00DC4F41"/>
    <w:rsid w:val="00DC52DC"/>
    <w:rsid w:val="00DC5891"/>
    <w:rsid w:val="00DC5C81"/>
    <w:rsid w:val="00DC5D76"/>
    <w:rsid w:val="00DC6C6E"/>
    <w:rsid w:val="00DC6D85"/>
    <w:rsid w:val="00DC7DA3"/>
    <w:rsid w:val="00DD0149"/>
    <w:rsid w:val="00DD035E"/>
    <w:rsid w:val="00DD0E43"/>
    <w:rsid w:val="00DD230A"/>
    <w:rsid w:val="00DD2A97"/>
    <w:rsid w:val="00DD3D23"/>
    <w:rsid w:val="00DD3E05"/>
    <w:rsid w:val="00DD4210"/>
    <w:rsid w:val="00DD4905"/>
    <w:rsid w:val="00DD54A1"/>
    <w:rsid w:val="00DD592A"/>
    <w:rsid w:val="00DD5DBA"/>
    <w:rsid w:val="00DD6CE1"/>
    <w:rsid w:val="00DD6FDA"/>
    <w:rsid w:val="00DD7D31"/>
    <w:rsid w:val="00DE049E"/>
    <w:rsid w:val="00DE09D3"/>
    <w:rsid w:val="00DE0C57"/>
    <w:rsid w:val="00DE0D8F"/>
    <w:rsid w:val="00DE0E10"/>
    <w:rsid w:val="00DE0FCE"/>
    <w:rsid w:val="00DE1374"/>
    <w:rsid w:val="00DE13BA"/>
    <w:rsid w:val="00DE1B71"/>
    <w:rsid w:val="00DE246F"/>
    <w:rsid w:val="00DE2B8D"/>
    <w:rsid w:val="00DE2F23"/>
    <w:rsid w:val="00DE2F76"/>
    <w:rsid w:val="00DE3935"/>
    <w:rsid w:val="00DE3A11"/>
    <w:rsid w:val="00DE3C60"/>
    <w:rsid w:val="00DE49B3"/>
    <w:rsid w:val="00DE58E3"/>
    <w:rsid w:val="00DE5E07"/>
    <w:rsid w:val="00DE6052"/>
    <w:rsid w:val="00DE6A1B"/>
    <w:rsid w:val="00DE70AF"/>
    <w:rsid w:val="00DE754B"/>
    <w:rsid w:val="00DE7917"/>
    <w:rsid w:val="00DE7AA2"/>
    <w:rsid w:val="00DE7B97"/>
    <w:rsid w:val="00DF0265"/>
    <w:rsid w:val="00DF0724"/>
    <w:rsid w:val="00DF16DB"/>
    <w:rsid w:val="00DF21B1"/>
    <w:rsid w:val="00DF2280"/>
    <w:rsid w:val="00DF260D"/>
    <w:rsid w:val="00DF355D"/>
    <w:rsid w:val="00DF3988"/>
    <w:rsid w:val="00DF3997"/>
    <w:rsid w:val="00DF3B49"/>
    <w:rsid w:val="00DF3E85"/>
    <w:rsid w:val="00DF3F1F"/>
    <w:rsid w:val="00DF4258"/>
    <w:rsid w:val="00DF433D"/>
    <w:rsid w:val="00DF4BB3"/>
    <w:rsid w:val="00DF5575"/>
    <w:rsid w:val="00DF6046"/>
    <w:rsid w:val="00DF6DCB"/>
    <w:rsid w:val="00DF719A"/>
    <w:rsid w:val="00DF75CC"/>
    <w:rsid w:val="00E0022E"/>
    <w:rsid w:val="00E012F5"/>
    <w:rsid w:val="00E0166C"/>
    <w:rsid w:val="00E01C08"/>
    <w:rsid w:val="00E026A1"/>
    <w:rsid w:val="00E028B5"/>
    <w:rsid w:val="00E02D05"/>
    <w:rsid w:val="00E0403B"/>
    <w:rsid w:val="00E041A7"/>
    <w:rsid w:val="00E0444A"/>
    <w:rsid w:val="00E04818"/>
    <w:rsid w:val="00E05550"/>
    <w:rsid w:val="00E05647"/>
    <w:rsid w:val="00E05D65"/>
    <w:rsid w:val="00E05FF8"/>
    <w:rsid w:val="00E07485"/>
    <w:rsid w:val="00E10134"/>
    <w:rsid w:val="00E1032D"/>
    <w:rsid w:val="00E10738"/>
    <w:rsid w:val="00E10C91"/>
    <w:rsid w:val="00E10D11"/>
    <w:rsid w:val="00E10EA5"/>
    <w:rsid w:val="00E11549"/>
    <w:rsid w:val="00E11D6E"/>
    <w:rsid w:val="00E12542"/>
    <w:rsid w:val="00E1261E"/>
    <w:rsid w:val="00E1261F"/>
    <w:rsid w:val="00E12DCE"/>
    <w:rsid w:val="00E13119"/>
    <w:rsid w:val="00E137BE"/>
    <w:rsid w:val="00E14039"/>
    <w:rsid w:val="00E15139"/>
    <w:rsid w:val="00E15492"/>
    <w:rsid w:val="00E15663"/>
    <w:rsid w:val="00E15A0B"/>
    <w:rsid w:val="00E16150"/>
    <w:rsid w:val="00E163F7"/>
    <w:rsid w:val="00E16A8C"/>
    <w:rsid w:val="00E17010"/>
    <w:rsid w:val="00E2031C"/>
    <w:rsid w:val="00E207E3"/>
    <w:rsid w:val="00E20B18"/>
    <w:rsid w:val="00E20B61"/>
    <w:rsid w:val="00E20C4B"/>
    <w:rsid w:val="00E210DB"/>
    <w:rsid w:val="00E21504"/>
    <w:rsid w:val="00E21FD1"/>
    <w:rsid w:val="00E227DB"/>
    <w:rsid w:val="00E2335B"/>
    <w:rsid w:val="00E2375E"/>
    <w:rsid w:val="00E23C21"/>
    <w:rsid w:val="00E23C26"/>
    <w:rsid w:val="00E23D39"/>
    <w:rsid w:val="00E240C0"/>
    <w:rsid w:val="00E240DA"/>
    <w:rsid w:val="00E25741"/>
    <w:rsid w:val="00E25DDA"/>
    <w:rsid w:val="00E260AF"/>
    <w:rsid w:val="00E266F3"/>
    <w:rsid w:val="00E26A03"/>
    <w:rsid w:val="00E26AC4"/>
    <w:rsid w:val="00E2741E"/>
    <w:rsid w:val="00E277DA"/>
    <w:rsid w:val="00E27A30"/>
    <w:rsid w:val="00E30645"/>
    <w:rsid w:val="00E3095B"/>
    <w:rsid w:val="00E31194"/>
    <w:rsid w:val="00E32B20"/>
    <w:rsid w:val="00E3307C"/>
    <w:rsid w:val="00E3361D"/>
    <w:rsid w:val="00E33CF3"/>
    <w:rsid w:val="00E34216"/>
    <w:rsid w:val="00E35427"/>
    <w:rsid w:val="00E35912"/>
    <w:rsid w:val="00E3641D"/>
    <w:rsid w:val="00E3733A"/>
    <w:rsid w:val="00E3782B"/>
    <w:rsid w:val="00E41359"/>
    <w:rsid w:val="00E41EB6"/>
    <w:rsid w:val="00E422C7"/>
    <w:rsid w:val="00E42BC8"/>
    <w:rsid w:val="00E42F06"/>
    <w:rsid w:val="00E4351D"/>
    <w:rsid w:val="00E4367D"/>
    <w:rsid w:val="00E43C38"/>
    <w:rsid w:val="00E44063"/>
    <w:rsid w:val="00E44165"/>
    <w:rsid w:val="00E4477D"/>
    <w:rsid w:val="00E448BB"/>
    <w:rsid w:val="00E46B16"/>
    <w:rsid w:val="00E47517"/>
    <w:rsid w:val="00E47617"/>
    <w:rsid w:val="00E47774"/>
    <w:rsid w:val="00E47B95"/>
    <w:rsid w:val="00E512F0"/>
    <w:rsid w:val="00E522F3"/>
    <w:rsid w:val="00E5261F"/>
    <w:rsid w:val="00E545BC"/>
    <w:rsid w:val="00E54D53"/>
    <w:rsid w:val="00E55550"/>
    <w:rsid w:val="00E56C36"/>
    <w:rsid w:val="00E56EF3"/>
    <w:rsid w:val="00E572FA"/>
    <w:rsid w:val="00E57400"/>
    <w:rsid w:val="00E57501"/>
    <w:rsid w:val="00E579F9"/>
    <w:rsid w:val="00E6047C"/>
    <w:rsid w:val="00E60672"/>
    <w:rsid w:val="00E61CCD"/>
    <w:rsid w:val="00E62AF8"/>
    <w:rsid w:val="00E643D0"/>
    <w:rsid w:val="00E64ADA"/>
    <w:rsid w:val="00E65A15"/>
    <w:rsid w:val="00E70A02"/>
    <w:rsid w:val="00E70C61"/>
    <w:rsid w:val="00E70FB5"/>
    <w:rsid w:val="00E70FDA"/>
    <w:rsid w:val="00E71062"/>
    <w:rsid w:val="00E715C5"/>
    <w:rsid w:val="00E71F20"/>
    <w:rsid w:val="00E72125"/>
    <w:rsid w:val="00E7217E"/>
    <w:rsid w:val="00E72BE2"/>
    <w:rsid w:val="00E72EC4"/>
    <w:rsid w:val="00E72EFC"/>
    <w:rsid w:val="00E743D1"/>
    <w:rsid w:val="00E74AB4"/>
    <w:rsid w:val="00E74ADD"/>
    <w:rsid w:val="00E74AE7"/>
    <w:rsid w:val="00E753E3"/>
    <w:rsid w:val="00E7641B"/>
    <w:rsid w:val="00E76DB6"/>
    <w:rsid w:val="00E7743F"/>
    <w:rsid w:val="00E77913"/>
    <w:rsid w:val="00E80477"/>
    <w:rsid w:val="00E80523"/>
    <w:rsid w:val="00E8091A"/>
    <w:rsid w:val="00E81327"/>
    <w:rsid w:val="00E81DC9"/>
    <w:rsid w:val="00E82AFA"/>
    <w:rsid w:val="00E82D83"/>
    <w:rsid w:val="00E83490"/>
    <w:rsid w:val="00E834A7"/>
    <w:rsid w:val="00E8424F"/>
    <w:rsid w:val="00E84895"/>
    <w:rsid w:val="00E849F0"/>
    <w:rsid w:val="00E856CC"/>
    <w:rsid w:val="00E8581E"/>
    <w:rsid w:val="00E8701D"/>
    <w:rsid w:val="00E87240"/>
    <w:rsid w:val="00E873B5"/>
    <w:rsid w:val="00E874C3"/>
    <w:rsid w:val="00E877C4"/>
    <w:rsid w:val="00E87BB1"/>
    <w:rsid w:val="00E902EC"/>
    <w:rsid w:val="00E90BCD"/>
    <w:rsid w:val="00E90DF7"/>
    <w:rsid w:val="00E90FEB"/>
    <w:rsid w:val="00E91050"/>
    <w:rsid w:val="00E91991"/>
    <w:rsid w:val="00E921CE"/>
    <w:rsid w:val="00E92C9E"/>
    <w:rsid w:val="00E935B8"/>
    <w:rsid w:val="00E9366B"/>
    <w:rsid w:val="00E939F6"/>
    <w:rsid w:val="00E93FBB"/>
    <w:rsid w:val="00E94808"/>
    <w:rsid w:val="00E94852"/>
    <w:rsid w:val="00E957E5"/>
    <w:rsid w:val="00E95A15"/>
    <w:rsid w:val="00E96286"/>
    <w:rsid w:val="00E968D8"/>
    <w:rsid w:val="00E973B3"/>
    <w:rsid w:val="00E9761D"/>
    <w:rsid w:val="00E97779"/>
    <w:rsid w:val="00E9794F"/>
    <w:rsid w:val="00E979E8"/>
    <w:rsid w:val="00E97A78"/>
    <w:rsid w:val="00E97CFF"/>
    <w:rsid w:val="00EA0E35"/>
    <w:rsid w:val="00EA1434"/>
    <w:rsid w:val="00EA2C49"/>
    <w:rsid w:val="00EA379D"/>
    <w:rsid w:val="00EA3B60"/>
    <w:rsid w:val="00EA426A"/>
    <w:rsid w:val="00EA4878"/>
    <w:rsid w:val="00EA596C"/>
    <w:rsid w:val="00EA5A7E"/>
    <w:rsid w:val="00EA5E68"/>
    <w:rsid w:val="00EA698C"/>
    <w:rsid w:val="00EA74A9"/>
    <w:rsid w:val="00EA7568"/>
    <w:rsid w:val="00EA795A"/>
    <w:rsid w:val="00EB0332"/>
    <w:rsid w:val="00EB04C3"/>
    <w:rsid w:val="00EB0B00"/>
    <w:rsid w:val="00EB1094"/>
    <w:rsid w:val="00EB16A2"/>
    <w:rsid w:val="00EB178D"/>
    <w:rsid w:val="00EB278C"/>
    <w:rsid w:val="00EB320A"/>
    <w:rsid w:val="00EB3F10"/>
    <w:rsid w:val="00EB4015"/>
    <w:rsid w:val="00EB424E"/>
    <w:rsid w:val="00EB436C"/>
    <w:rsid w:val="00EB4828"/>
    <w:rsid w:val="00EB5E15"/>
    <w:rsid w:val="00EB65AC"/>
    <w:rsid w:val="00EB783C"/>
    <w:rsid w:val="00EB7EE9"/>
    <w:rsid w:val="00EC0177"/>
    <w:rsid w:val="00EC070F"/>
    <w:rsid w:val="00EC0E04"/>
    <w:rsid w:val="00EC176E"/>
    <w:rsid w:val="00EC1914"/>
    <w:rsid w:val="00EC1947"/>
    <w:rsid w:val="00EC194B"/>
    <w:rsid w:val="00EC1A27"/>
    <w:rsid w:val="00EC22C0"/>
    <w:rsid w:val="00EC36CD"/>
    <w:rsid w:val="00EC3C75"/>
    <w:rsid w:val="00EC40A3"/>
    <w:rsid w:val="00EC43CC"/>
    <w:rsid w:val="00EC457B"/>
    <w:rsid w:val="00EC4878"/>
    <w:rsid w:val="00EC4AAA"/>
    <w:rsid w:val="00EC4E25"/>
    <w:rsid w:val="00EC76DF"/>
    <w:rsid w:val="00EC798A"/>
    <w:rsid w:val="00EC7FA3"/>
    <w:rsid w:val="00ED028C"/>
    <w:rsid w:val="00ED058B"/>
    <w:rsid w:val="00ED14EE"/>
    <w:rsid w:val="00ED2153"/>
    <w:rsid w:val="00ED2441"/>
    <w:rsid w:val="00ED2E85"/>
    <w:rsid w:val="00ED30B6"/>
    <w:rsid w:val="00ED4BE7"/>
    <w:rsid w:val="00ED4F75"/>
    <w:rsid w:val="00ED4FA4"/>
    <w:rsid w:val="00ED5649"/>
    <w:rsid w:val="00ED5668"/>
    <w:rsid w:val="00ED56C8"/>
    <w:rsid w:val="00ED57B0"/>
    <w:rsid w:val="00ED6204"/>
    <w:rsid w:val="00ED6457"/>
    <w:rsid w:val="00ED6491"/>
    <w:rsid w:val="00ED7164"/>
    <w:rsid w:val="00ED719D"/>
    <w:rsid w:val="00ED7DC4"/>
    <w:rsid w:val="00EE0423"/>
    <w:rsid w:val="00EE04EA"/>
    <w:rsid w:val="00EE08BD"/>
    <w:rsid w:val="00EE0C5B"/>
    <w:rsid w:val="00EE0FF6"/>
    <w:rsid w:val="00EE14E2"/>
    <w:rsid w:val="00EE18EF"/>
    <w:rsid w:val="00EE41EA"/>
    <w:rsid w:val="00EE42BB"/>
    <w:rsid w:val="00EE4506"/>
    <w:rsid w:val="00EE4B03"/>
    <w:rsid w:val="00EE505B"/>
    <w:rsid w:val="00EE50D1"/>
    <w:rsid w:val="00EE5619"/>
    <w:rsid w:val="00EE66A4"/>
    <w:rsid w:val="00EE6B9D"/>
    <w:rsid w:val="00EE73B3"/>
    <w:rsid w:val="00EE7491"/>
    <w:rsid w:val="00EE7B8A"/>
    <w:rsid w:val="00EE7F97"/>
    <w:rsid w:val="00EF06BA"/>
    <w:rsid w:val="00EF0E7E"/>
    <w:rsid w:val="00EF0FF1"/>
    <w:rsid w:val="00EF17AB"/>
    <w:rsid w:val="00EF1C73"/>
    <w:rsid w:val="00EF378B"/>
    <w:rsid w:val="00EF3B9B"/>
    <w:rsid w:val="00EF4593"/>
    <w:rsid w:val="00EF46C0"/>
    <w:rsid w:val="00EF4BBC"/>
    <w:rsid w:val="00EF5439"/>
    <w:rsid w:val="00EF61F2"/>
    <w:rsid w:val="00EF6334"/>
    <w:rsid w:val="00EF6BBF"/>
    <w:rsid w:val="00EF70B0"/>
    <w:rsid w:val="00EF7313"/>
    <w:rsid w:val="00EF7940"/>
    <w:rsid w:val="00EF7D38"/>
    <w:rsid w:val="00EF7DFD"/>
    <w:rsid w:val="00EF7F0B"/>
    <w:rsid w:val="00EF7FAD"/>
    <w:rsid w:val="00F00184"/>
    <w:rsid w:val="00F00482"/>
    <w:rsid w:val="00F008B0"/>
    <w:rsid w:val="00F00973"/>
    <w:rsid w:val="00F00F10"/>
    <w:rsid w:val="00F01130"/>
    <w:rsid w:val="00F01151"/>
    <w:rsid w:val="00F012ED"/>
    <w:rsid w:val="00F01965"/>
    <w:rsid w:val="00F01C6D"/>
    <w:rsid w:val="00F02846"/>
    <w:rsid w:val="00F02954"/>
    <w:rsid w:val="00F029F4"/>
    <w:rsid w:val="00F02C24"/>
    <w:rsid w:val="00F02E20"/>
    <w:rsid w:val="00F02F17"/>
    <w:rsid w:val="00F031A2"/>
    <w:rsid w:val="00F0393B"/>
    <w:rsid w:val="00F042D8"/>
    <w:rsid w:val="00F04386"/>
    <w:rsid w:val="00F04415"/>
    <w:rsid w:val="00F04A76"/>
    <w:rsid w:val="00F04BE0"/>
    <w:rsid w:val="00F04C5E"/>
    <w:rsid w:val="00F04FE3"/>
    <w:rsid w:val="00F055D1"/>
    <w:rsid w:val="00F057C1"/>
    <w:rsid w:val="00F064E8"/>
    <w:rsid w:val="00F0726C"/>
    <w:rsid w:val="00F0754E"/>
    <w:rsid w:val="00F07FB3"/>
    <w:rsid w:val="00F07FBD"/>
    <w:rsid w:val="00F10ED2"/>
    <w:rsid w:val="00F1131F"/>
    <w:rsid w:val="00F11374"/>
    <w:rsid w:val="00F11381"/>
    <w:rsid w:val="00F11DB4"/>
    <w:rsid w:val="00F12515"/>
    <w:rsid w:val="00F12811"/>
    <w:rsid w:val="00F12B96"/>
    <w:rsid w:val="00F1309D"/>
    <w:rsid w:val="00F13142"/>
    <w:rsid w:val="00F137EF"/>
    <w:rsid w:val="00F13B15"/>
    <w:rsid w:val="00F13E00"/>
    <w:rsid w:val="00F14050"/>
    <w:rsid w:val="00F14695"/>
    <w:rsid w:val="00F14718"/>
    <w:rsid w:val="00F14FFC"/>
    <w:rsid w:val="00F15CDD"/>
    <w:rsid w:val="00F16051"/>
    <w:rsid w:val="00F1727B"/>
    <w:rsid w:val="00F17DFA"/>
    <w:rsid w:val="00F20237"/>
    <w:rsid w:val="00F2039F"/>
    <w:rsid w:val="00F20446"/>
    <w:rsid w:val="00F20491"/>
    <w:rsid w:val="00F20575"/>
    <w:rsid w:val="00F20858"/>
    <w:rsid w:val="00F20AF6"/>
    <w:rsid w:val="00F21143"/>
    <w:rsid w:val="00F211E7"/>
    <w:rsid w:val="00F2162B"/>
    <w:rsid w:val="00F218CE"/>
    <w:rsid w:val="00F21A02"/>
    <w:rsid w:val="00F21AC9"/>
    <w:rsid w:val="00F21B45"/>
    <w:rsid w:val="00F22966"/>
    <w:rsid w:val="00F22A97"/>
    <w:rsid w:val="00F22B0A"/>
    <w:rsid w:val="00F22FC8"/>
    <w:rsid w:val="00F237D0"/>
    <w:rsid w:val="00F2397F"/>
    <w:rsid w:val="00F23F19"/>
    <w:rsid w:val="00F241EE"/>
    <w:rsid w:val="00F247BB"/>
    <w:rsid w:val="00F24AB2"/>
    <w:rsid w:val="00F24E43"/>
    <w:rsid w:val="00F24F79"/>
    <w:rsid w:val="00F25B1D"/>
    <w:rsid w:val="00F25C21"/>
    <w:rsid w:val="00F26048"/>
    <w:rsid w:val="00F26264"/>
    <w:rsid w:val="00F265B3"/>
    <w:rsid w:val="00F26FC2"/>
    <w:rsid w:val="00F2737A"/>
    <w:rsid w:val="00F30F53"/>
    <w:rsid w:val="00F32560"/>
    <w:rsid w:val="00F32799"/>
    <w:rsid w:val="00F32A1F"/>
    <w:rsid w:val="00F3312B"/>
    <w:rsid w:val="00F34CEC"/>
    <w:rsid w:val="00F34E24"/>
    <w:rsid w:val="00F356E7"/>
    <w:rsid w:val="00F35D7D"/>
    <w:rsid w:val="00F36DA0"/>
    <w:rsid w:val="00F371F3"/>
    <w:rsid w:val="00F375B8"/>
    <w:rsid w:val="00F37EF0"/>
    <w:rsid w:val="00F40E62"/>
    <w:rsid w:val="00F41454"/>
    <w:rsid w:val="00F41860"/>
    <w:rsid w:val="00F41DCA"/>
    <w:rsid w:val="00F42B9B"/>
    <w:rsid w:val="00F42C0E"/>
    <w:rsid w:val="00F42F0A"/>
    <w:rsid w:val="00F44913"/>
    <w:rsid w:val="00F449EE"/>
    <w:rsid w:val="00F45A5A"/>
    <w:rsid w:val="00F466A6"/>
    <w:rsid w:val="00F47831"/>
    <w:rsid w:val="00F47832"/>
    <w:rsid w:val="00F50000"/>
    <w:rsid w:val="00F50576"/>
    <w:rsid w:val="00F5081B"/>
    <w:rsid w:val="00F51972"/>
    <w:rsid w:val="00F51C5B"/>
    <w:rsid w:val="00F51C90"/>
    <w:rsid w:val="00F51D1F"/>
    <w:rsid w:val="00F51F45"/>
    <w:rsid w:val="00F52E3D"/>
    <w:rsid w:val="00F5440E"/>
    <w:rsid w:val="00F54932"/>
    <w:rsid w:val="00F54BB9"/>
    <w:rsid w:val="00F54C39"/>
    <w:rsid w:val="00F56765"/>
    <w:rsid w:val="00F56C49"/>
    <w:rsid w:val="00F56D18"/>
    <w:rsid w:val="00F57158"/>
    <w:rsid w:val="00F57225"/>
    <w:rsid w:val="00F574C5"/>
    <w:rsid w:val="00F6065A"/>
    <w:rsid w:val="00F6090D"/>
    <w:rsid w:val="00F60B8B"/>
    <w:rsid w:val="00F60BD7"/>
    <w:rsid w:val="00F60F6A"/>
    <w:rsid w:val="00F61538"/>
    <w:rsid w:val="00F6156C"/>
    <w:rsid w:val="00F626E8"/>
    <w:rsid w:val="00F62818"/>
    <w:rsid w:val="00F62820"/>
    <w:rsid w:val="00F63453"/>
    <w:rsid w:val="00F64DD2"/>
    <w:rsid w:val="00F64E0A"/>
    <w:rsid w:val="00F65625"/>
    <w:rsid w:val="00F659A3"/>
    <w:rsid w:val="00F65B6E"/>
    <w:rsid w:val="00F703F0"/>
    <w:rsid w:val="00F71FD1"/>
    <w:rsid w:val="00F730A6"/>
    <w:rsid w:val="00F7320A"/>
    <w:rsid w:val="00F737FF"/>
    <w:rsid w:val="00F73FD7"/>
    <w:rsid w:val="00F74898"/>
    <w:rsid w:val="00F74EB9"/>
    <w:rsid w:val="00F75F35"/>
    <w:rsid w:val="00F76633"/>
    <w:rsid w:val="00F76656"/>
    <w:rsid w:val="00F76B7C"/>
    <w:rsid w:val="00F77203"/>
    <w:rsid w:val="00F77CA2"/>
    <w:rsid w:val="00F807DD"/>
    <w:rsid w:val="00F809F4"/>
    <w:rsid w:val="00F81DBB"/>
    <w:rsid w:val="00F843D1"/>
    <w:rsid w:val="00F84F21"/>
    <w:rsid w:val="00F85336"/>
    <w:rsid w:val="00F866DF"/>
    <w:rsid w:val="00F867EC"/>
    <w:rsid w:val="00F868B5"/>
    <w:rsid w:val="00F87731"/>
    <w:rsid w:val="00F8779F"/>
    <w:rsid w:val="00F877DB"/>
    <w:rsid w:val="00F87AD8"/>
    <w:rsid w:val="00F87B15"/>
    <w:rsid w:val="00F90158"/>
    <w:rsid w:val="00F901D5"/>
    <w:rsid w:val="00F90C46"/>
    <w:rsid w:val="00F91776"/>
    <w:rsid w:val="00F91A08"/>
    <w:rsid w:val="00F92F24"/>
    <w:rsid w:val="00F93081"/>
    <w:rsid w:val="00F934C2"/>
    <w:rsid w:val="00F93AA1"/>
    <w:rsid w:val="00F93AD2"/>
    <w:rsid w:val="00F949CB"/>
    <w:rsid w:val="00F95437"/>
    <w:rsid w:val="00F955EA"/>
    <w:rsid w:val="00F9612A"/>
    <w:rsid w:val="00F96BD1"/>
    <w:rsid w:val="00F96E58"/>
    <w:rsid w:val="00F97439"/>
    <w:rsid w:val="00F9780B"/>
    <w:rsid w:val="00F97FE6"/>
    <w:rsid w:val="00FA02D7"/>
    <w:rsid w:val="00FA0491"/>
    <w:rsid w:val="00FA08B7"/>
    <w:rsid w:val="00FA26C3"/>
    <w:rsid w:val="00FA2983"/>
    <w:rsid w:val="00FA2D48"/>
    <w:rsid w:val="00FA3E15"/>
    <w:rsid w:val="00FA3FED"/>
    <w:rsid w:val="00FA41DC"/>
    <w:rsid w:val="00FA4649"/>
    <w:rsid w:val="00FA4A0C"/>
    <w:rsid w:val="00FA4EFB"/>
    <w:rsid w:val="00FA5048"/>
    <w:rsid w:val="00FA5F95"/>
    <w:rsid w:val="00FA62DB"/>
    <w:rsid w:val="00FA638C"/>
    <w:rsid w:val="00FA63C8"/>
    <w:rsid w:val="00FA72B1"/>
    <w:rsid w:val="00FA7D25"/>
    <w:rsid w:val="00FB0B27"/>
    <w:rsid w:val="00FB0B83"/>
    <w:rsid w:val="00FB0DD2"/>
    <w:rsid w:val="00FB14D3"/>
    <w:rsid w:val="00FB1A96"/>
    <w:rsid w:val="00FB1D86"/>
    <w:rsid w:val="00FB26D8"/>
    <w:rsid w:val="00FB27F8"/>
    <w:rsid w:val="00FB298B"/>
    <w:rsid w:val="00FB33FE"/>
    <w:rsid w:val="00FB37CB"/>
    <w:rsid w:val="00FB3A5E"/>
    <w:rsid w:val="00FB453C"/>
    <w:rsid w:val="00FB4BA6"/>
    <w:rsid w:val="00FB5320"/>
    <w:rsid w:val="00FB5839"/>
    <w:rsid w:val="00FB659B"/>
    <w:rsid w:val="00FB65CC"/>
    <w:rsid w:val="00FB68D2"/>
    <w:rsid w:val="00FB6904"/>
    <w:rsid w:val="00FB708F"/>
    <w:rsid w:val="00FB7222"/>
    <w:rsid w:val="00FB761F"/>
    <w:rsid w:val="00FB7FDC"/>
    <w:rsid w:val="00FC094D"/>
    <w:rsid w:val="00FC0BEF"/>
    <w:rsid w:val="00FC1615"/>
    <w:rsid w:val="00FC1A2A"/>
    <w:rsid w:val="00FC1BA6"/>
    <w:rsid w:val="00FC1CB3"/>
    <w:rsid w:val="00FC2412"/>
    <w:rsid w:val="00FC2AF2"/>
    <w:rsid w:val="00FC33B2"/>
    <w:rsid w:val="00FC3E00"/>
    <w:rsid w:val="00FC4203"/>
    <w:rsid w:val="00FC4CC6"/>
    <w:rsid w:val="00FC50C9"/>
    <w:rsid w:val="00FC50E9"/>
    <w:rsid w:val="00FC5201"/>
    <w:rsid w:val="00FC52C4"/>
    <w:rsid w:val="00FC542B"/>
    <w:rsid w:val="00FC55DE"/>
    <w:rsid w:val="00FC57F7"/>
    <w:rsid w:val="00FC5835"/>
    <w:rsid w:val="00FC5BDD"/>
    <w:rsid w:val="00FC6308"/>
    <w:rsid w:val="00FC632B"/>
    <w:rsid w:val="00FC6C42"/>
    <w:rsid w:val="00FD0738"/>
    <w:rsid w:val="00FD0E2E"/>
    <w:rsid w:val="00FD0FA7"/>
    <w:rsid w:val="00FD1021"/>
    <w:rsid w:val="00FD1420"/>
    <w:rsid w:val="00FD1505"/>
    <w:rsid w:val="00FD19A6"/>
    <w:rsid w:val="00FD1BA5"/>
    <w:rsid w:val="00FD291B"/>
    <w:rsid w:val="00FD3B55"/>
    <w:rsid w:val="00FD4293"/>
    <w:rsid w:val="00FD42D6"/>
    <w:rsid w:val="00FD44D4"/>
    <w:rsid w:val="00FD4C2A"/>
    <w:rsid w:val="00FE0291"/>
    <w:rsid w:val="00FE09E6"/>
    <w:rsid w:val="00FE12A8"/>
    <w:rsid w:val="00FE131B"/>
    <w:rsid w:val="00FE1C5A"/>
    <w:rsid w:val="00FE2D2F"/>
    <w:rsid w:val="00FE341D"/>
    <w:rsid w:val="00FE4360"/>
    <w:rsid w:val="00FE4D11"/>
    <w:rsid w:val="00FE5B4B"/>
    <w:rsid w:val="00FE62D2"/>
    <w:rsid w:val="00FE7E2C"/>
    <w:rsid w:val="00FF01A7"/>
    <w:rsid w:val="00FF01B8"/>
    <w:rsid w:val="00FF0BA5"/>
    <w:rsid w:val="00FF1A75"/>
    <w:rsid w:val="00FF1CA8"/>
    <w:rsid w:val="00FF1E77"/>
    <w:rsid w:val="00FF21B2"/>
    <w:rsid w:val="00FF2778"/>
    <w:rsid w:val="00FF2C5C"/>
    <w:rsid w:val="00FF2DF3"/>
    <w:rsid w:val="00FF2E76"/>
    <w:rsid w:val="00FF387B"/>
    <w:rsid w:val="00FF41E3"/>
    <w:rsid w:val="00FF4730"/>
    <w:rsid w:val="00FF5035"/>
    <w:rsid w:val="00FF5955"/>
    <w:rsid w:val="00FF5B2F"/>
    <w:rsid w:val="069F6C6D"/>
    <w:rsid w:val="0C67306E"/>
    <w:rsid w:val="1B936716"/>
    <w:rsid w:val="2EAE07C3"/>
    <w:rsid w:val="31273EE5"/>
    <w:rsid w:val="3F114001"/>
    <w:rsid w:val="3FAE2961"/>
    <w:rsid w:val="438837D9"/>
    <w:rsid w:val="454C1AE2"/>
    <w:rsid w:val="4CEA4EB7"/>
    <w:rsid w:val="56E52C16"/>
    <w:rsid w:val="57FB0104"/>
    <w:rsid w:val="5A4004B1"/>
    <w:rsid w:val="616E5D6A"/>
    <w:rsid w:val="62AA53E6"/>
    <w:rsid w:val="6E1041EB"/>
    <w:rsid w:val="734A3ED0"/>
    <w:rsid w:val="73785000"/>
    <w:rsid w:val="74A84C94"/>
    <w:rsid w:val="7B5630D4"/>
    <w:rsid w:val="7F47038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自选图形 96"/>
        <o:r id="V:Rule2" type="connector" idref="#_x0000_s1842"/>
        <o:r id="V:Rule3" type="connector" idref="#_x0000_s1876"/>
        <o:r id="V:Rule4" type="connector" idref="#_x0000_s1877"/>
        <o:r id="V:Rule5" type="connector" idref="#_x0000_s1878"/>
        <o:r id="V:Rule6" type="connector" idref="#_x0000_s1879"/>
        <o:r id="V:Rule7" type="connector" idref="#_x0000_s1880"/>
        <o:r id="V:Rule8" type="connector" idref="#_x0000_s1881"/>
        <o:r id="V:Rule9" type="connector" idref="#_x0000_s1882"/>
        <o:r id="V:Rule10" type="connector" idref="#_x0000_s189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ocked="1"/>
    <w:lsdException w:qFormat="1" w:unhideWhenUsed="0" w:uiPriority="99" w:semiHidden="0" w:name="heading 3"/>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name="Date"/>
    <w:lsdException w:qFormat="1" w:unhideWhenUsed="0" w:uiPriority="99" w:name="Body Text First Indent"/>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0" w:semiHidden="0" w:name="Hyperlink"/>
    <w:lsdException w:uiPriority="99" w:name="FollowedHyperlink" w:locked="1"/>
    <w:lsdException w:qFormat="1" w:unhideWhenUsed="0" w:uiPriority="0" w:semiHidden="0" w:name="Strong" w:locked="1"/>
    <w:lsdException w:qFormat="1" w:unhideWhenUsed="0" w:uiPriority="20" w:semiHidden="0" w:name="Emphasis" w:locked="1"/>
    <w:lsdException w:qFormat="1" w:unhideWhenUsed="0"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81"/>
    <w:autoRedefine/>
    <w:unhideWhenUsed/>
    <w:qFormat/>
    <w:locked/>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autoRedefine/>
    <w:qFormat/>
    <w:uiPriority w:val="99"/>
    <w:pPr>
      <w:keepNext/>
      <w:keepLines/>
      <w:widowControl/>
      <w:spacing w:before="260" w:after="260" w:line="416" w:lineRule="auto"/>
      <w:ind w:firstLine="360"/>
      <w:jc w:val="left"/>
      <w:outlineLvl w:val="2"/>
    </w:pPr>
    <w:rPr>
      <w:rFonts w:ascii="Calibri" w:hAnsi="Calibri"/>
      <w:b/>
      <w:bCs/>
      <w:kern w:val="0"/>
      <w:sz w:val="32"/>
      <w:szCs w:val="32"/>
    </w:rPr>
  </w:style>
  <w:style w:type="paragraph" w:styleId="5">
    <w:name w:val="heading 4"/>
    <w:basedOn w:val="1"/>
    <w:next w:val="1"/>
    <w:link w:val="82"/>
    <w:autoRedefine/>
    <w:qFormat/>
    <w:locked/>
    <w:uiPriority w:val="0"/>
    <w:pPr>
      <w:keepNext/>
      <w:keepLines/>
      <w:spacing w:before="280" w:after="290" w:line="376" w:lineRule="auto"/>
      <w:outlineLvl w:val="3"/>
    </w:pPr>
    <w:rPr>
      <w:rFonts w:ascii="Arial" w:hAnsi="Arial" w:eastAsia="黑体"/>
      <w:b/>
      <w:bCs/>
      <w:sz w:val="28"/>
      <w:szCs w:val="28"/>
    </w:rPr>
  </w:style>
  <w:style w:type="character" w:default="1" w:styleId="23">
    <w:name w:val="Default Paragraph Font"/>
    <w:autoRedefine/>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link w:val="121"/>
    <w:autoRedefine/>
    <w:qFormat/>
    <w:uiPriority w:val="0"/>
    <w:rPr>
      <w:rFonts w:ascii="Cambria" w:hAnsi="Cambria" w:eastAsia="黑体"/>
      <w:sz w:val="20"/>
      <w:szCs w:val="20"/>
    </w:rPr>
  </w:style>
  <w:style w:type="paragraph" w:styleId="7">
    <w:name w:val="Document Map"/>
    <w:basedOn w:val="1"/>
    <w:link w:val="80"/>
    <w:autoRedefine/>
    <w:semiHidden/>
    <w:qFormat/>
    <w:locked/>
    <w:uiPriority w:val="99"/>
    <w:pPr>
      <w:shd w:val="clear" w:color="auto" w:fill="000080"/>
    </w:pPr>
  </w:style>
  <w:style w:type="paragraph" w:styleId="8">
    <w:name w:val="annotation text"/>
    <w:basedOn w:val="1"/>
    <w:link w:val="51"/>
    <w:qFormat/>
    <w:uiPriority w:val="0"/>
    <w:pPr>
      <w:jc w:val="left"/>
    </w:pPr>
  </w:style>
  <w:style w:type="paragraph" w:styleId="9">
    <w:name w:val="Body Text"/>
    <w:basedOn w:val="1"/>
    <w:link w:val="55"/>
    <w:autoRedefine/>
    <w:semiHidden/>
    <w:qFormat/>
    <w:uiPriority w:val="99"/>
    <w:pPr>
      <w:spacing w:after="120"/>
    </w:pPr>
  </w:style>
  <w:style w:type="paragraph" w:styleId="10">
    <w:name w:val="Body Text Indent"/>
    <w:basedOn w:val="1"/>
    <w:link w:val="53"/>
    <w:qFormat/>
    <w:uiPriority w:val="99"/>
    <w:pPr>
      <w:autoSpaceDE w:val="0"/>
      <w:autoSpaceDN w:val="0"/>
      <w:adjustRightInd w:val="0"/>
      <w:spacing w:line="504" w:lineRule="exact"/>
      <w:ind w:firstLine="480"/>
    </w:pPr>
    <w:rPr>
      <w:kern w:val="0"/>
      <w:sz w:val="24"/>
      <w:szCs w:val="20"/>
    </w:rPr>
  </w:style>
  <w:style w:type="paragraph" w:styleId="11">
    <w:name w:val="toc 3"/>
    <w:basedOn w:val="1"/>
    <w:next w:val="1"/>
    <w:autoRedefine/>
    <w:qFormat/>
    <w:uiPriority w:val="39"/>
    <w:pPr>
      <w:ind w:left="840" w:leftChars="400"/>
    </w:pPr>
  </w:style>
  <w:style w:type="paragraph" w:styleId="12">
    <w:name w:val="Date"/>
    <w:basedOn w:val="1"/>
    <w:next w:val="1"/>
    <w:link w:val="77"/>
    <w:semiHidden/>
    <w:qFormat/>
    <w:uiPriority w:val="99"/>
    <w:pPr>
      <w:ind w:left="100" w:leftChars="2500"/>
    </w:pPr>
  </w:style>
  <w:style w:type="paragraph" w:styleId="13">
    <w:name w:val="Body Text Indent 2"/>
    <w:basedOn w:val="1"/>
    <w:link w:val="89"/>
    <w:autoRedefine/>
    <w:qFormat/>
    <w:locked/>
    <w:uiPriority w:val="0"/>
    <w:pPr>
      <w:spacing w:after="120" w:line="480" w:lineRule="auto"/>
      <w:ind w:left="420" w:leftChars="200"/>
    </w:pPr>
  </w:style>
  <w:style w:type="paragraph" w:styleId="14">
    <w:name w:val="Balloon Text"/>
    <w:basedOn w:val="1"/>
    <w:link w:val="28"/>
    <w:autoRedefine/>
    <w:qFormat/>
    <w:uiPriority w:val="99"/>
    <w:pPr>
      <w:widowControl/>
      <w:ind w:firstLine="360"/>
      <w:jc w:val="left"/>
    </w:pPr>
    <w:rPr>
      <w:rFonts w:ascii="Calibri" w:hAnsi="Calibri"/>
      <w:kern w:val="0"/>
      <w:sz w:val="18"/>
      <w:szCs w:val="18"/>
    </w:rPr>
  </w:style>
  <w:style w:type="paragraph" w:styleId="15">
    <w:name w:val="footer"/>
    <w:basedOn w:val="1"/>
    <w:link w:val="29"/>
    <w:qFormat/>
    <w:uiPriority w:val="99"/>
    <w:pPr>
      <w:tabs>
        <w:tab w:val="center" w:pos="4153"/>
        <w:tab w:val="right" w:pos="8306"/>
      </w:tabs>
      <w:snapToGrid w:val="0"/>
      <w:jc w:val="left"/>
    </w:pPr>
    <w:rPr>
      <w:kern w:val="0"/>
      <w:sz w:val="18"/>
      <w:szCs w:val="18"/>
    </w:rPr>
  </w:style>
  <w:style w:type="paragraph" w:styleId="16">
    <w:name w:val="header"/>
    <w:basedOn w:val="1"/>
    <w:link w:val="30"/>
    <w:autoRedefine/>
    <w:qFormat/>
    <w:uiPriority w:val="99"/>
    <w:pPr>
      <w:widowControl/>
      <w:tabs>
        <w:tab w:val="center" w:pos="4153"/>
        <w:tab w:val="right" w:pos="8306"/>
      </w:tabs>
      <w:snapToGrid w:val="0"/>
      <w:ind w:firstLine="360"/>
      <w:jc w:val="center"/>
    </w:pPr>
    <w:rPr>
      <w:rFonts w:ascii="Calibri" w:hAnsi="Calibri"/>
      <w:kern w:val="0"/>
      <w:sz w:val="18"/>
      <w:szCs w:val="18"/>
    </w:rPr>
  </w:style>
  <w:style w:type="paragraph" w:styleId="17">
    <w:name w:val="toc 1"/>
    <w:basedOn w:val="1"/>
    <w:next w:val="1"/>
    <w:autoRedefine/>
    <w:qFormat/>
    <w:uiPriority w:val="39"/>
    <w:pPr>
      <w:tabs>
        <w:tab w:val="right" w:leader="dot" w:pos="9241"/>
      </w:tabs>
      <w:spacing w:beforeLines="25" w:afterLines="25"/>
      <w:jc w:val="left"/>
    </w:pPr>
    <w:rPr>
      <w:rFonts w:ascii="宋体"/>
      <w:szCs w:val="21"/>
    </w:rPr>
  </w:style>
  <w:style w:type="paragraph" w:styleId="18">
    <w:name w:val="toc 2"/>
    <w:basedOn w:val="1"/>
    <w:next w:val="1"/>
    <w:autoRedefine/>
    <w:qFormat/>
    <w:uiPriority w:val="39"/>
    <w:pPr>
      <w:ind w:left="420" w:leftChars="200"/>
    </w:pPr>
  </w:style>
  <w:style w:type="paragraph" w:styleId="19">
    <w:name w:val="Normal (Web)"/>
    <w:basedOn w:val="1"/>
    <w:link w:val="111"/>
    <w:autoRedefine/>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w:basedOn w:val="9"/>
    <w:link w:val="56"/>
    <w:semiHidden/>
    <w:qFormat/>
    <w:uiPriority w:val="99"/>
    <w:pPr>
      <w:ind w:firstLine="420" w:firstLineChars="100"/>
    </w:pPr>
  </w:style>
  <w:style w:type="table" w:styleId="22">
    <w:name w:val="Table Grid"/>
    <w:basedOn w:val="21"/>
    <w:autoRedefine/>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Strong"/>
    <w:autoRedefine/>
    <w:qFormat/>
    <w:locked/>
    <w:uiPriority w:val="0"/>
    <w:rPr>
      <w:b/>
      <w:bCs/>
    </w:rPr>
  </w:style>
  <w:style w:type="character" w:styleId="25">
    <w:name w:val="Hyperlink"/>
    <w:basedOn w:val="23"/>
    <w:qFormat/>
    <w:uiPriority w:val="0"/>
    <w:rPr>
      <w:rFonts w:cs="Times New Roman"/>
      <w:color w:val="0000FF"/>
      <w:spacing w:val="0"/>
      <w:w w:val="100"/>
      <w:sz w:val="21"/>
      <w:u w:val="single"/>
    </w:rPr>
  </w:style>
  <w:style w:type="character" w:customStyle="1" w:styleId="26">
    <w:name w:val="标题 1 Char"/>
    <w:basedOn w:val="23"/>
    <w:link w:val="2"/>
    <w:autoRedefine/>
    <w:qFormat/>
    <w:locked/>
    <w:uiPriority w:val="9"/>
    <w:rPr>
      <w:rFonts w:cs="Times New Roman"/>
      <w:b/>
      <w:bCs/>
      <w:kern w:val="44"/>
      <w:sz w:val="44"/>
      <w:szCs w:val="44"/>
    </w:rPr>
  </w:style>
  <w:style w:type="character" w:customStyle="1" w:styleId="27">
    <w:name w:val="标题 3 Char"/>
    <w:basedOn w:val="23"/>
    <w:link w:val="4"/>
    <w:autoRedefine/>
    <w:qFormat/>
    <w:locked/>
    <w:uiPriority w:val="99"/>
    <w:rPr>
      <w:rFonts w:ascii="Calibri" w:hAnsi="Calibri" w:eastAsia="宋体" w:cs="Times New Roman"/>
      <w:b/>
      <w:kern w:val="0"/>
      <w:sz w:val="32"/>
    </w:rPr>
  </w:style>
  <w:style w:type="character" w:customStyle="1" w:styleId="28">
    <w:name w:val="批注框文本 Char"/>
    <w:basedOn w:val="23"/>
    <w:link w:val="14"/>
    <w:qFormat/>
    <w:locked/>
    <w:uiPriority w:val="99"/>
    <w:rPr>
      <w:rFonts w:ascii="Calibri" w:hAnsi="Calibri" w:eastAsia="宋体" w:cs="Times New Roman"/>
      <w:kern w:val="0"/>
      <w:sz w:val="18"/>
    </w:rPr>
  </w:style>
  <w:style w:type="character" w:customStyle="1" w:styleId="29">
    <w:name w:val="页脚 Char"/>
    <w:basedOn w:val="23"/>
    <w:link w:val="15"/>
    <w:qFormat/>
    <w:locked/>
    <w:uiPriority w:val="99"/>
    <w:rPr>
      <w:rFonts w:ascii="Times New Roman" w:hAnsi="Times New Roman" w:eastAsia="宋体" w:cs="Times New Roman"/>
      <w:sz w:val="18"/>
    </w:rPr>
  </w:style>
  <w:style w:type="character" w:customStyle="1" w:styleId="30">
    <w:name w:val="页眉 Char"/>
    <w:basedOn w:val="23"/>
    <w:link w:val="16"/>
    <w:autoRedefine/>
    <w:qFormat/>
    <w:locked/>
    <w:uiPriority w:val="99"/>
    <w:rPr>
      <w:rFonts w:ascii="Calibri" w:hAnsi="Calibri" w:eastAsia="宋体" w:cs="Times New Roman"/>
      <w:kern w:val="0"/>
      <w:sz w:val="18"/>
    </w:rPr>
  </w:style>
  <w:style w:type="paragraph" w:customStyle="1" w:styleId="31">
    <w:name w:val="段"/>
    <w:link w:val="45"/>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2"/>
      <w:szCs w:val="22"/>
      <w:lang w:val="en-US" w:eastAsia="zh-CN" w:bidi="ar-SA"/>
    </w:rPr>
  </w:style>
  <w:style w:type="paragraph" w:customStyle="1" w:styleId="32">
    <w:name w:val="一级条标题"/>
    <w:next w:val="31"/>
    <w:autoRedefine/>
    <w:qFormat/>
    <w:uiPriority w:val="99"/>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3">
    <w:name w:val="章标题"/>
    <w:next w:val="31"/>
    <w:link w:val="47"/>
    <w:autoRedefine/>
    <w:qFormat/>
    <w:uiPriority w:val="99"/>
    <w:pPr>
      <w:numPr>
        <w:ilvl w:val="0"/>
        <w:numId w:val="1"/>
      </w:numPr>
      <w:spacing w:beforeLines="100" w:afterLines="100"/>
      <w:ind w:left="142"/>
      <w:jc w:val="both"/>
      <w:outlineLvl w:val="1"/>
    </w:pPr>
    <w:rPr>
      <w:rFonts w:ascii="黑体" w:hAnsi="Times New Roman" w:eastAsia="黑体" w:cs="Times New Roman"/>
      <w:sz w:val="21"/>
      <w:lang w:val="en-US" w:eastAsia="zh-CN" w:bidi="ar-SA"/>
    </w:rPr>
  </w:style>
  <w:style w:type="paragraph" w:customStyle="1" w:styleId="34">
    <w:name w:val="二级条标题"/>
    <w:basedOn w:val="32"/>
    <w:next w:val="31"/>
    <w:qFormat/>
    <w:uiPriority w:val="99"/>
    <w:pPr>
      <w:numPr>
        <w:ilvl w:val="2"/>
      </w:numPr>
      <w:spacing w:before="50" w:after="50"/>
      <w:ind w:left="852"/>
      <w:outlineLvl w:val="3"/>
    </w:pPr>
  </w:style>
  <w:style w:type="paragraph" w:customStyle="1" w:styleId="35">
    <w:name w:val="目次、标准名称标题"/>
    <w:basedOn w:val="1"/>
    <w:next w:val="31"/>
    <w:autoRedefine/>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6">
    <w:name w:val="三级条标题"/>
    <w:basedOn w:val="34"/>
    <w:next w:val="31"/>
    <w:autoRedefine/>
    <w:qFormat/>
    <w:uiPriority w:val="99"/>
    <w:pPr>
      <w:numPr>
        <w:ilvl w:val="3"/>
      </w:numPr>
      <w:ind w:left="2520" w:hanging="420"/>
      <w:outlineLvl w:val="4"/>
    </w:pPr>
  </w:style>
  <w:style w:type="paragraph" w:customStyle="1" w:styleId="37">
    <w:name w:val="数字编号列项（二级）"/>
    <w:qFormat/>
    <w:uiPriority w:val="99"/>
    <w:pPr>
      <w:numPr>
        <w:ilvl w:val="1"/>
        <w:numId w:val="2"/>
      </w:numPr>
      <w:tabs>
        <w:tab w:val="left" w:pos="840"/>
      </w:tabs>
      <w:jc w:val="both"/>
    </w:pPr>
    <w:rPr>
      <w:rFonts w:ascii="宋体" w:hAnsi="Times New Roman" w:eastAsia="宋体" w:cs="Times New Roman"/>
      <w:sz w:val="21"/>
      <w:lang w:val="en-US" w:eastAsia="zh-CN" w:bidi="ar-SA"/>
    </w:rPr>
  </w:style>
  <w:style w:type="paragraph" w:customStyle="1" w:styleId="38">
    <w:name w:val="四级条标题"/>
    <w:basedOn w:val="36"/>
    <w:next w:val="31"/>
    <w:qFormat/>
    <w:uiPriority w:val="99"/>
    <w:pPr>
      <w:numPr>
        <w:ilvl w:val="4"/>
      </w:numPr>
      <w:ind w:left="0" w:firstLine="0"/>
      <w:outlineLvl w:val="5"/>
    </w:pPr>
  </w:style>
  <w:style w:type="paragraph" w:customStyle="1" w:styleId="39">
    <w:name w:val="五级条标题"/>
    <w:basedOn w:val="38"/>
    <w:next w:val="31"/>
    <w:qFormat/>
    <w:uiPriority w:val="99"/>
    <w:pPr>
      <w:numPr>
        <w:ilvl w:val="5"/>
      </w:numPr>
      <w:outlineLvl w:val="6"/>
    </w:pPr>
  </w:style>
  <w:style w:type="paragraph" w:customStyle="1" w:styleId="40">
    <w:name w:val="字母编号列项（一级）"/>
    <w:qFormat/>
    <w:uiPriority w:val="99"/>
    <w:pPr>
      <w:numPr>
        <w:ilvl w:val="0"/>
        <w:numId w:val="2"/>
      </w:numPr>
      <w:jc w:val="both"/>
    </w:pPr>
    <w:rPr>
      <w:rFonts w:ascii="宋体" w:hAnsi="Times New Roman" w:eastAsia="宋体" w:cs="Times New Roman"/>
      <w:sz w:val="21"/>
      <w:lang w:val="en-US" w:eastAsia="zh-CN" w:bidi="ar-SA"/>
    </w:rPr>
  </w:style>
  <w:style w:type="paragraph" w:customStyle="1" w:styleId="41">
    <w:name w:val="编号列项（三级）"/>
    <w:qFormat/>
    <w:uiPriority w:val="99"/>
    <w:pPr>
      <w:numPr>
        <w:ilvl w:val="2"/>
        <w:numId w:val="2"/>
      </w:numPr>
      <w:tabs>
        <w:tab w:val="left" w:pos="840"/>
      </w:tabs>
    </w:pPr>
    <w:rPr>
      <w:rFonts w:ascii="宋体" w:hAnsi="Times New Roman" w:eastAsia="宋体" w:cs="Times New Roman"/>
      <w:sz w:val="21"/>
      <w:lang w:val="en-US" w:eastAsia="zh-CN" w:bidi="ar-SA"/>
    </w:rPr>
  </w:style>
  <w:style w:type="paragraph" w:customStyle="1" w:styleId="42">
    <w:name w:val="二级无"/>
    <w:basedOn w:val="34"/>
    <w:qFormat/>
    <w:uiPriority w:val="99"/>
    <w:pPr>
      <w:spacing w:beforeLines="0" w:afterLines="0"/>
    </w:pPr>
    <w:rPr>
      <w:rFonts w:ascii="宋体" w:eastAsia="宋体"/>
    </w:rPr>
  </w:style>
  <w:style w:type="paragraph" w:customStyle="1" w:styleId="43">
    <w:name w:val="三级无"/>
    <w:basedOn w:val="36"/>
    <w:qFormat/>
    <w:uiPriority w:val="99"/>
    <w:pPr>
      <w:spacing w:beforeLines="0" w:afterLines="0"/>
    </w:pPr>
    <w:rPr>
      <w:rFonts w:ascii="宋体" w:eastAsia="宋体"/>
    </w:rPr>
  </w:style>
  <w:style w:type="paragraph" w:customStyle="1" w:styleId="44">
    <w:name w:val="列出段落1"/>
    <w:basedOn w:val="1"/>
    <w:qFormat/>
    <w:uiPriority w:val="34"/>
    <w:pPr>
      <w:ind w:firstLine="420" w:firstLineChars="200"/>
    </w:pPr>
  </w:style>
  <w:style w:type="character" w:customStyle="1" w:styleId="45">
    <w:name w:val="段 Char"/>
    <w:link w:val="31"/>
    <w:qFormat/>
    <w:locked/>
    <w:uiPriority w:val="0"/>
    <w:rPr>
      <w:rFonts w:ascii="宋体"/>
      <w:kern w:val="2"/>
      <w:sz w:val="22"/>
      <w:szCs w:val="22"/>
      <w:lang w:val="en-US" w:eastAsia="zh-CN" w:bidi="ar-SA"/>
    </w:rPr>
  </w:style>
  <w:style w:type="paragraph" w:customStyle="1" w:styleId="46">
    <w:name w:val="样式1"/>
    <w:basedOn w:val="33"/>
    <w:link w:val="48"/>
    <w:qFormat/>
    <w:uiPriority w:val="99"/>
  </w:style>
  <w:style w:type="character" w:customStyle="1" w:styleId="47">
    <w:name w:val="章标题 Char"/>
    <w:basedOn w:val="23"/>
    <w:link w:val="33"/>
    <w:qFormat/>
    <w:locked/>
    <w:uiPriority w:val="99"/>
    <w:rPr>
      <w:rFonts w:ascii="黑体" w:eastAsia="黑体"/>
      <w:sz w:val="21"/>
      <w:lang w:val="en-US" w:eastAsia="zh-CN" w:bidi="ar-SA"/>
    </w:rPr>
  </w:style>
  <w:style w:type="character" w:customStyle="1" w:styleId="48">
    <w:name w:val="样式1 Char"/>
    <w:basedOn w:val="47"/>
    <w:link w:val="46"/>
    <w:qFormat/>
    <w:locked/>
    <w:uiPriority w:val="99"/>
    <w:rPr>
      <w:rFonts w:ascii="黑体" w:eastAsia="黑体"/>
      <w:sz w:val="21"/>
      <w:lang w:val="en-US" w:eastAsia="zh-CN" w:bidi="ar-SA"/>
    </w:rPr>
  </w:style>
  <w:style w:type="paragraph" w:customStyle="1" w:styleId="49">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50">
    <w:name w:val="List Paragraph"/>
    <w:basedOn w:val="1"/>
    <w:qFormat/>
    <w:uiPriority w:val="34"/>
    <w:pPr>
      <w:ind w:firstLine="420" w:firstLineChars="200"/>
    </w:pPr>
    <w:rPr>
      <w:rFonts w:ascii="Calibri" w:hAnsi="Calibri"/>
      <w:szCs w:val="22"/>
    </w:rPr>
  </w:style>
  <w:style w:type="character" w:customStyle="1" w:styleId="51">
    <w:name w:val="批注文字 Char"/>
    <w:basedOn w:val="23"/>
    <w:link w:val="8"/>
    <w:qFormat/>
    <w:locked/>
    <w:uiPriority w:val="0"/>
    <w:rPr>
      <w:rFonts w:cs="Times New Roman"/>
      <w:kern w:val="2"/>
      <w:sz w:val="24"/>
      <w:szCs w:val="24"/>
    </w:rPr>
  </w:style>
  <w:style w:type="character" w:customStyle="1" w:styleId="52">
    <w:name w:val="Body Text Indent Char"/>
    <w:qFormat/>
    <w:locked/>
    <w:uiPriority w:val="99"/>
    <w:rPr>
      <w:sz w:val="24"/>
    </w:rPr>
  </w:style>
  <w:style w:type="character" w:customStyle="1" w:styleId="53">
    <w:name w:val="正文文本缩进 Char"/>
    <w:basedOn w:val="23"/>
    <w:link w:val="10"/>
    <w:semiHidden/>
    <w:qFormat/>
    <w:locked/>
    <w:uiPriority w:val="99"/>
    <w:rPr>
      <w:rFonts w:cs="Times New Roman"/>
      <w:sz w:val="24"/>
      <w:szCs w:val="24"/>
    </w:rPr>
  </w:style>
  <w:style w:type="character" w:customStyle="1" w:styleId="54">
    <w:name w:val="正文文本缩进 Char1"/>
    <w:basedOn w:val="23"/>
    <w:semiHidden/>
    <w:qFormat/>
    <w:uiPriority w:val="99"/>
    <w:rPr>
      <w:rFonts w:cs="Times New Roman"/>
      <w:kern w:val="2"/>
      <w:sz w:val="24"/>
      <w:szCs w:val="24"/>
    </w:rPr>
  </w:style>
  <w:style w:type="character" w:customStyle="1" w:styleId="55">
    <w:name w:val="正文文本 Char"/>
    <w:basedOn w:val="23"/>
    <w:link w:val="9"/>
    <w:semiHidden/>
    <w:qFormat/>
    <w:locked/>
    <w:uiPriority w:val="99"/>
    <w:rPr>
      <w:rFonts w:cs="Times New Roman"/>
      <w:kern w:val="2"/>
      <w:sz w:val="24"/>
      <w:szCs w:val="24"/>
    </w:rPr>
  </w:style>
  <w:style w:type="character" w:customStyle="1" w:styleId="56">
    <w:name w:val="正文首行缩进 Char"/>
    <w:basedOn w:val="55"/>
    <w:link w:val="20"/>
    <w:semiHidden/>
    <w:qFormat/>
    <w:locked/>
    <w:uiPriority w:val="99"/>
    <w:rPr>
      <w:rFonts w:cs="Times New Roman"/>
      <w:kern w:val="2"/>
      <w:sz w:val="24"/>
      <w:szCs w:val="24"/>
    </w:rPr>
  </w:style>
  <w:style w:type="paragraph" w:customStyle="1" w:styleId="57">
    <w:name w:val="插入表格"/>
    <w:next w:val="1"/>
    <w:qFormat/>
    <w:uiPriority w:val="99"/>
    <w:pPr>
      <w:widowControl w:val="0"/>
      <w:adjustRightInd w:val="0"/>
      <w:spacing w:before="120" w:after="120"/>
      <w:jc w:val="center"/>
    </w:pPr>
    <w:rPr>
      <w:rFonts w:ascii="Times New Roman" w:hAnsi="Times New Roman" w:eastAsia="宋体" w:cs="Times New Roman"/>
      <w:sz w:val="21"/>
      <w:lang w:val="en-US" w:eastAsia="zh-CN" w:bidi="ar-SA"/>
    </w:rPr>
  </w:style>
  <w:style w:type="paragraph" w:customStyle="1" w:styleId="58">
    <w:name w:val="YL正文"/>
    <w:basedOn w:val="1"/>
    <w:link w:val="59"/>
    <w:qFormat/>
    <w:uiPriority w:val="99"/>
    <w:pPr>
      <w:spacing w:line="300" w:lineRule="auto"/>
      <w:ind w:firstLine="200" w:firstLineChars="200"/>
    </w:pPr>
    <w:rPr>
      <w:rFonts w:ascii="仿宋" w:hAnsi="仿宋"/>
      <w:color w:val="000000"/>
      <w:sz w:val="24"/>
    </w:rPr>
  </w:style>
  <w:style w:type="character" w:customStyle="1" w:styleId="59">
    <w:name w:val="YL正文 Char"/>
    <w:basedOn w:val="23"/>
    <w:link w:val="58"/>
    <w:qFormat/>
    <w:locked/>
    <w:uiPriority w:val="99"/>
    <w:rPr>
      <w:rFonts w:ascii="仿宋" w:hAnsi="仿宋" w:eastAsia="宋体" w:cs="Times New Roman"/>
      <w:color w:val="000000"/>
      <w:kern w:val="2"/>
      <w:sz w:val="24"/>
      <w:szCs w:val="24"/>
    </w:rPr>
  </w:style>
  <w:style w:type="paragraph" w:customStyle="1" w:styleId="60">
    <w:name w:val="YL表头"/>
    <w:basedOn w:val="6"/>
    <w:link w:val="62"/>
    <w:qFormat/>
    <w:uiPriority w:val="0"/>
    <w:pPr>
      <w:spacing w:beforeLines="30" w:afterLines="20"/>
      <w:jc w:val="center"/>
    </w:pPr>
    <w:rPr>
      <w:rFonts w:eastAsia="宋体"/>
      <w:b/>
      <w:sz w:val="21"/>
    </w:rPr>
  </w:style>
  <w:style w:type="paragraph" w:customStyle="1" w:styleId="61">
    <w:name w:val="YL图内容"/>
    <w:basedOn w:val="1"/>
    <w:link w:val="63"/>
    <w:qFormat/>
    <w:uiPriority w:val="99"/>
    <w:pPr>
      <w:spacing w:line="264" w:lineRule="auto"/>
      <w:jc w:val="center"/>
    </w:pPr>
    <w:rPr>
      <w:rFonts w:ascii="仿宋" w:hAnsi="仿宋"/>
      <w:color w:val="000000"/>
    </w:rPr>
  </w:style>
  <w:style w:type="character" w:customStyle="1" w:styleId="62">
    <w:name w:val="YL表头 Char"/>
    <w:basedOn w:val="23"/>
    <w:link w:val="60"/>
    <w:qFormat/>
    <w:locked/>
    <w:uiPriority w:val="0"/>
    <w:rPr>
      <w:rFonts w:ascii="Cambria" w:hAnsi="Cambria" w:eastAsia="宋体" w:cs="Times New Roman"/>
      <w:b/>
      <w:kern w:val="2"/>
      <w:sz w:val="21"/>
    </w:rPr>
  </w:style>
  <w:style w:type="character" w:customStyle="1" w:styleId="63">
    <w:name w:val="YL图内容 Char"/>
    <w:basedOn w:val="23"/>
    <w:link w:val="61"/>
    <w:qFormat/>
    <w:locked/>
    <w:uiPriority w:val="99"/>
    <w:rPr>
      <w:rFonts w:ascii="仿宋" w:hAnsi="仿宋" w:eastAsia="宋体" w:cs="Times New Roman"/>
      <w:color w:val="000000"/>
      <w:kern w:val="2"/>
      <w:sz w:val="24"/>
      <w:szCs w:val="24"/>
    </w:rPr>
  </w:style>
  <w:style w:type="paragraph" w:customStyle="1" w:styleId="64">
    <w:name w:val="YL四级"/>
    <w:basedOn w:val="1"/>
    <w:link w:val="65"/>
    <w:qFormat/>
    <w:uiPriority w:val="99"/>
    <w:pPr>
      <w:spacing w:beforeLines="50" w:afterLines="50"/>
      <w:ind w:firstLine="200" w:firstLineChars="200"/>
      <w:jc w:val="left"/>
      <w:outlineLvl w:val="3"/>
    </w:pPr>
    <w:rPr>
      <w:rFonts w:ascii="仿宋" w:hAnsi="仿宋"/>
      <w:b/>
      <w:color w:val="000000"/>
      <w:sz w:val="24"/>
    </w:rPr>
  </w:style>
  <w:style w:type="character" w:customStyle="1" w:styleId="65">
    <w:name w:val="YL四级 Char"/>
    <w:basedOn w:val="23"/>
    <w:link w:val="64"/>
    <w:locked/>
    <w:uiPriority w:val="99"/>
    <w:rPr>
      <w:rFonts w:ascii="仿宋" w:hAnsi="仿宋" w:eastAsia="宋体" w:cs="Times New Roman"/>
      <w:b/>
      <w:color w:val="000000"/>
      <w:kern w:val="2"/>
      <w:sz w:val="24"/>
      <w:szCs w:val="24"/>
    </w:rPr>
  </w:style>
  <w:style w:type="paragraph" w:customStyle="1" w:styleId="66">
    <w:name w:val="YL六级"/>
    <w:basedOn w:val="1"/>
    <w:link w:val="67"/>
    <w:qFormat/>
    <w:uiPriority w:val="99"/>
    <w:pPr>
      <w:adjustRightInd w:val="0"/>
      <w:spacing w:beforeLines="50" w:afterLines="50"/>
      <w:ind w:firstLine="200" w:firstLineChars="200"/>
      <w:jc w:val="left"/>
      <w:outlineLvl w:val="5"/>
    </w:pPr>
    <w:rPr>
      <w:rFonts w:ascii="仿宋" w:hAnsi="仿宋"/>
      <w:b/>
      <w:color w:val="000000"/>
      <w:sz w:val="24"/>
    </w:rPr>
  </w:style>
  <w:style w:type="character" w:customStyle="1" w:styleId="67">
    <w:name w:val="YL六级 Char"/>
    <w:basedOn w:val="23"/>
    <w:link w:val="66"/>
    <w:qFormat/>
    <w:locked/>
    <w:uiPriority w:val="99"/>
    <w:rPr>
      <w:rFonts w:ascii="仿宋" w:hAnsi="仿宋" w:eastAsia="宋体" w:cs="Times New Roman"/>
      <w:b/>
      <w:color w:val="000000"/>
      <w:kern w:val="2"/>
      <w:sz w:val="24"/>
      <w:szCs w:val="24"/>
    </w:rPr>
  </w:style>
  <w:style w:type="paragraph" w:customStyle="1" w:styleId="68">
    <w:name w:val="YL五级"/>
    <w:basedOn w:val="1"/>
    <w:link w:val="69"/>
    <w:qFormat/>
    <w:uiPriority w:val="99"/>
    <w:pPr>
      <w:adjustRightInd w:val="0"/>
      <w:spacing w:beforeLines="50" w:afterLines="50"/>
      <w:ind w:firstLine="200" w:firstLineChars="200"/>
      <w:jc w:val="left"/>
      <w:outlineLvl w:val="4"/>
    </w:pPr>
    <w:rPr>
      <w:rFonts w:ascii="仿宋" w:hAnsi="仿宋"/>
      <w:b/>
      <w:color w:val="000000"/>
      <w:sz w:val="24"/>
    </w:rPr>
  </w:style>
  <w:style w:type="character" w:customStyle="1" w:styleId="69">
    <w:name w:val="YL五级 Char"/>
    <w:basedOn w:val="23"/>
    <w:link w:val="68"/>
    <w:qFormat/>
    <w:locked/>
    <w:uiPriority w:val="99"/>
    <w:rPr>
      <w:rFonts w:ascii="仿宋" w:hAnsi="仿宋" w:eastAsia="宋体" w:cs="Times New Roman"/>
      <w:b/>
      <w:color w:val="000000"/>
      <w:kern w:val="2"/>
      <w:sz w:val="24"/>
      <w:szCs w:val="24"/>
    </w:rPr>
  </w:style>
  <w:style w:type="paragraph" w:customStyle="1" w:styleId="70">
    <w:name w:val="YL二级"/>
    <w:basedOn w:val="1"/>
    <w:link w:val="72"/>
    <w:qFormat/>
    <w:uiPriority w:val="99"/>
    <w:pPr>
      <w:adjustRightInd w:val="0"/>
      <w:spacing w:beforeLines="50" w:afterLines="50"/>
      <w:jc w:val="left"/>
      <w:outlineLvl w:val="1"/>
    </w:pPr>
    <w:rPr>
      <w:rFonts w:ascii="宋体" w:hAnsi="宋体"/>
      <w:b/>
      <w:bCs/>
      <w:sz w:val="28"/>
    </w:rPr>
  </w:style>
  <w:style w:type="paragraph" w:customStyle="1" w:styleId="71">
    <w:name w:val="YL三级"/>
    <w:basedOn w:val="1"/>
    <w:link w:val="73"/>
    <w:qFormat/>
    <w:uiPriority w:val="99"/>
    <w:pPr>
      <w:adjustRightInd w:val="0"/>
      <w:spacing w:beforeLines="50" w:afterLines="50"/>
      <w:outlineLvl w:val="2"/>
    </w:pPr>
    <w:rPr>
      <w:rFonts w:ascii="宋体" w:hAnsi="宋体"/>
      <w:b/>
      <w:bCs/>
      <w:sz w:val="24"/>
    </w:rPr>
  </w:style>
  <w:style w:type="character" w:customStyle="1" w:styleId="72">
    <w:name w:val="YL二级 Char"/>
    <w:basedOn w:val="23"/>
    <w:link w:val="70"/>
    <w:qFormat/>
    <w:locked/>
    <w:uiPriority w:val="99"/>
    <w:rPr>
      <w:rFonts w:ascii="宋体" w:hAnsi="宋体" w:eastAsia="宋体" w:cs="Times New Roman"/>
      <w:b/>
      <w:bCs/>
      <w:kern w:val="2"/>
      <w:sz w:val="24"/>
      <w:szCs w:val="24"/>
    </w:rPr>
  </w:style>
  <w:style w:type="character" w:customStyle="1" w:styleId="73">
    <w:name w:val="YL三级 Char"/>
    <w:basedOn w:val="23"/>
    <w:link w:val="71"/>
    <w:qFormat/>
    <w:locked/>
    <w:uiPriority w:val="99"/>
    <w:rPr>
      <w:rFonts w:ascii="宋体" w:hAnsi="宋体" w:eastAsia="宋体" w:cs="Times New Roman"/>
      <w:b/>
      <w:bCs/>
      <w:kern w:val="2"/>
      <w:sz w:val="24"/>
      <w:szCs w:val="24"/>
    </w:rPr>
  </w:style>
  <w:style w:type="character" w:customStyle="1" w:styleId="74">
    <w:name w:val="apple-style-span"/>
    <w:basedOn w:val="23"/>
    <w:qFormat/>
    <w:uiPriority w:val="99"/>
    <w:rPr>
      <w:rFonts w:cs="Times New Roman"/>
    </w:rPr>
  </w:style>
  <w:style w:type="paragraph" w:customStyle="1" w:styleId="75">
    <w:name w:val="招股正文格式"/>
    <w:basedOn w:val="1"/>
    <w:link w:val="76"/>
    <w:qFormat/>
    <w:uiPriority w:val="99"/>
    <w:pPr>
      <w:spacing w:beforeLines="50" w:line="360" w:lineRule="auto"/>
      <w:ind w:firstLine="200" w:firstLineChars="200"/>
    </w:pPr>
    <w:rPr>
      <w:kern w:val="0"/>
      <w:sz w:val="24"/>
      <w:szCs w:val="20"/>
    </w:rPr>
  </w:style>
  <w:style w:type="character" w:customStyle="1" w:styleId="76">
    <w:name w:val="招股正文格式 Char"/>
    <w:link w:val="75"/>
    <w:qFormat/>
    <w:locked/>
    <w:uiPriority w:val="99"/>
    <w:rPr>
      <w:sz w:val="24"/>
    </w:rPr>
  </w:style>
  <w:style w:type="character" w:customStyle="1" w:styleId="77">
    <w:name w:val="日期 Char"/>
    <w:basedOn w:val="23"/>
    <w:link w:val="12"/>
    <w:semiHidden/>
    <w:qFormat/>
    <w:locked/>
    <w:uiPriority w:val="99"/>
    <w:rPr>
      <w:rFonts w:cs="Times New Roman"/>
      <w:sz w:val="24"/>
      <w:szCs w:val="24"/>
    </w:rPr>
  </w:style>
  <w:style w:type="paragraph" w:customStyle="1" w:styleId="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Char Char Char Char Char Char Char Char Char Char Char Char Char Char Char Char"/>
    <w:basedOn w:val="1"/>
    <w:qFormat/>
    <w:uiPriority w:val="99"/>
    <w:pPr>
      <w:tabs>
        <w:tab w:val="left" w:pos="360"/>
      </w:tabs>
    </w:pPr>
  </w:style>
  <w:style w:type="character" w:customStyle="1" w:styleId="80">
    <w:name w:val="文档结构图 Char"/>
    <w:basedOn w:val="23"/>
    <w:link w:val="7"/>
    <w:semiHidden/>
    <w:qFormat/>
    <w:locked/>
    <w:uiPriority w:val="99"/>
    <w:rPr>
      <w:rFonts w:cs="Times New Roman"/>
      <w:sz w:val="2"/>
    </w:rPr>
  </w:style>
  <w:style w:type="character" w:customStyle="1" w:styleId="81">
    <w:name w:val="标题 2 Char"/>
    <w:basedOn w:val="23"/>
    <w:link w:val="3"/>
    <w:semiHidden/>
    <w:qFormat/>
    <w:uiPriority w:val="9"/>
    <w:rPr>
      <w:rFonts w:ascii="Cambria" w:hAnsi="Cambria" w:eastAsia="宋体" w:cs="Times New Roman"/>
      <w:b/>
      <w:bCs/>
      <w:kern w:val="2"/>
      <w:sz w:val="32"/>
      <w:szCs w:val="32"/>
    </w:rPr>
  </w:style>
  <w:style w:type="character" w:customStyle="1" w:styleId="82">
    <w:name w:val="标题 4 Char"/>
    <w:basedOn w:val="23"/>
    <w:link w:val="5"/>
    <w:qFormat/>
    <w:uiPriority w:val="0"/>
    <w:rPr>
      <w:rFonts w:ascii="Arial" w:hAnsi="Arial" w:eastAsia="黑体"/>
      <w:b/>
      <w:bCs/>
      <w:kern w:val="2"/>
      <w:sz w:val="28"/>
      <w:szCs w:val="28"/>
    </w:rPr>
  </w:style>
  <w:style w:type="character" w:customStyle="1" w:styleId="83">
    <w:name w:val="表格内容 Char"/>
    <w:link w:val="84"/>
    <w:qFormat/>
    <w:uiPriority w:val="0"/>
    <w:rPr>
      <w:rFonts w:ascii="宋体" w:hAnsi="宋体"/>
      <w:spacing w:val="-2"/>
      <w:kern w:val="2"/>
      <w:sz w:val="21"/>
      <w:szCs w:val="18"/>
    </w:rPr>
  </w:style>
  <w:style w:type="paragraph" w:customStyle="1" w:styleId="84">
    <w:name w:val="表格内容"/>
    <w:basedOn w:val="1"/>
    <w:link w:val="83"/>
    <w:qFormat/>
    <w:uiPriority w:val="0"/>
    <w:pPr>
      <w:widowControl/>
      <w:spacing w:line="300" w:lineRule="auto"/>
      <w:jc w:val="left"/>
    </w:pPr>
    <w:rPr>
      <w:rFonts w:ascii="宋体" w:hAnsi="宋体"/>
      <w:spacing w:val="-2"/>
      <w:szCs w:val="18"/>
    </w:rPr>
  </w:style>
  <w:style w:type="character" w:customStyle="1" w:styleId="85">
    <w:name w:val="批注引用1"/>
    <w:qFormat/>
    <w:uiPriority w:val="0"/>
    <w:rPr>
      <w:sz w:val="21"/>
      <w:szCs w:val="21"/>
    </w:rPr>
  </w:style>
  <w:style w:type="character" w:customStyle="1" w:styleId="86">
    <w:name w:val="css031"/>
    <w:qFormat/>
    <w:uiPriority w:val="0"/>
    <w:rPr>
      <w:sz w:val="18"/>
      <w:szCs w:val="18"/>
    </w:rPr>
  </w:style>
  <w:style w:type="paragraph" w:customStyle="1" w:styleId="87">
    <w:name w:val="招股书正文"/>
    <w:basedOn w:val="1"/>
    <w:qFormat/>
    <w:uiPriority w:val="0"/>
    <w:pPr>
      <w:snapToGrid w:val="0"/>
      <w:spacing w:line="500" w:lineRule="exact"/>
      <w:ind w:right="-74" w:firstLine="200" w:firstLineChars="200"/>
    </w:pPr>
    <w:rPr>
      <w:rFonts w:ascii="宋体" w:hAnsi="宋体"/>
      <w:sz w:val="24"/>
    </w:rPr>
  </w:style>
  <w:style w:type="character" w:customStyle="1" w:styleId="88">
    <w:name w:val="正文文本缩进 2 Char"/>
    <w:qFormat/>
    <w:uiPriority w:val="0"/>
    <w:rPr>
      <w:kern w:val="2"/>
      <w:sz w:val="21"/>
      <w:szCs w:val="24"/>
    </w:rPr>
  </w:style>
  <w:style w:type="character" w:customStyle="1" w:styleId="89">
    <w:name w:val="正文文本缩进 2 Char1"/>
    <w:basedOn w:val="23"/>
    <w:link w:val="13"/>
    <w:semiHidden/>
    <w:qFormat/>
    <w:uiPriority w:val="99"/>
    <w:rPr>
      <w:kern w:val="2"/>
      <w:sz w:val="21"/>
      <w:szCs w:val="24"/>
    </w:rPr>
  </w:style>
  <w:style w:type="character" w:customStyle="1" w:styleId="90">
    <w:name w:val="样式7 Char"/>
    <w:link w:val="91"/>
    <w:qFormat/>
    <w:uiPriority w:val="0"/>
    <w:rPr>
      <w:kern w:val="2"/>
      <w:sz w:val="21"/>
      <w:szCs w:val="24"/>
    </w:rPr>
  </w:style>
  <w:style w:type="paragraph" w:customStyle="1" w:styleId="91">
    <w:name w:val="样式7"/>
    <w:basedOn w:val="1"/>
    <w:next w:val="1"/>
    <w:link w:val="90"/>
    <w:qFormat/>
    <w:uiPriority w:val="0"/>
    <w:pPr>
      <w:ind w:firstLine="200" w:firstLineChars="200"/>
      <w:jc w:val="left"/>
    </w:pPr>
  </w:style>
  <w:style w:type="character" w:customStyle="1" w:styleId="92">
    <w:name w:val="hei141"/>
    <w:qFormat/>
    <w:uiPriority w:val="0"/>
    <w:rPr>
      <w:rFonts w:hint="eastAsia" w:ascii="宋体" w:hAnsi="宋体" w:eastAsia="宋体"/>
      <w:color w:val="000000"/>
      <w:sz w:val="21"/>
      <w:szCs w:val="21"/>
      <w:u w:val="none"/>
    </w:rPr>
  </w:style>
  <w:style w:type="character" w:customStyle="1" w:styleId="93">
    <w:name w:val="样式3 Char Char"/>
    <w:link w:val="94"/>
    <w:qFormat/>
    <w:uiPriority w:val="0"/>
    <w:rPr>
      <w:rFonts w:ascii="宋体" w:hAnsi="宋体"/>
      <w:b/>
      <w:color w:val="000000"/>
      <w:kern w:val="2"/>
      <w:sz w:val="21"/>
      <w:szCs w:val="21"/>
    </w:rPr>
  </w:style>
  <w:style w:type="paragraph" w:customStyle="1" w:styleId="94">
    <w:name w:val="样式3"/>
    <w:basedOn w:val="1"/>
    <w:link w:val="93"/>
    <w:qFormat/>
    <w:uiPriority w:val="0"/>
    <w:pPr>
      <w:jc w:val="center"/>
    </w:pPr>
    <w:rPr>
      <w:rFonts w:ascii="宋体" w:hAnsi="宋体"/>
      <w:b/>
      <w:color w:val="000000"/>
      <w:szCs w:val="21"/>
    </w:rPr>
  </w:style>
  <w:style w:type="paragraph" w:customStyle="1" w:styleId="95">
    <w:name w:val="正文文本缩进1"/>
    <w:basedOn w:val="1"/>
    <w:qFormat/>
    <w:uiPriority w:val="0"/>
    <w:pPr>
      <w:spacing w:line="420" w:lineRule="exact"/>
      <w:ind w:firstLine="435"/>
    </w:pPr>
    <w:rPr>
      <w:szCs w:val="20"/>
    </w:rPr>
  </w:style>
  <w:style w:type="paragraph" w:customStyle="1" w:styleId="96">
    <w:name w:val="aSTL正文"/>
    <w:basedOn w:val="1"/>
    <w:link w:val="97"/>
    <w:qFormat/>
    <w:uiPriority w:val="0"/>
    <w:pPr>
      <w:spacing w:line="300" w:lineRule="auto"/>
      <w:ind w:firstLine="200" w:firstLineChars="200"/>
    </w:pPr>
    <w:rPr>
      <w:rFonts w:ascii="Calibri" w:hAnsi="Calibri"/>
      <w:kern w:val="0"/>
      <w:sz w:val="24"/>
      <w:szCs w:val="20"/>
    </w:rPr>
  </w:style>
  <w:style w:type="character" w:customStyle="1" w:styleId="97">
    <w:name w:val="aSTL正文 Char"/>
    <w:link w:val="96"/>
    <w:qFormat/>
    <w:uiPriority w:val="0"/>
    <w:rPr>
      <w:rFonts w:ascii="Calibri" w:hAnsi="Calibri"/>
      <w:sz w:val="24"/>
    </w:rPr>
  </w:style>
  <w:style w:type="paragraph" w:customStyle="1" w:styleId="98">
    <w:name w:val="4.7.2.1.1"/>
    <w:basedOn w:val="1"/>
    <w:link w:val="99"/>
    <w:qFormat/>
    <w:uiPriority w:val="0"/>
    <w:pPr>
      <w:tabs>
        <w:tab w:val="left" w:pos="142"/>
      </w:tabs>
      <w:spacing w:beforeLines="50" w:afterLines="50"/>
      <w:ind w:firstLine="200" w:firstLineChars="200"/>
      <w:jc w:val="left"/>
      <w:outlineLvl w:val="3"/>
    </w:pPr>
    <w:rPr>
      <w:rFonts w:ascii="宋体" w:hAnsi="宋体"/>
      <w:b/>
      <w:color w:val="000000"/>
      <w:kern w:val="0"/>
      <w:sz w:val="24"/>
    </w:rPr>
  </w:style>
  <w:style w:type="character" w:customStyle="1" w:styleId="99">
    <w:name w:val="4.7.2.1.1 Char"/>
    <w:link w:val="98"/>
    <w:qFormat/>
    <w:uiPriority w:val="0"/>
    <w:rPr>
      <w:rFonts w:ascii="宋体" w:hAnsi="宋体"/>
      <w:b/>
      <w:color w:val="000000"/>
      <w:sz w:val="24"/>
      <w:szCs w:val="24"/>
    </w:rPr>
  </w:style>
  <w:style w:type="character" w:customStyle="1" w:styleId="100">
    <w:name w:val="apple-converted-space"/>
    <w:basedOn w:val="23"/>
    <w:autoRedefine/>
    <w:qFormat/>
    <w:uiPriority w:val="0"/>
  </w:style>
  <w:style w:type="character" w:customStyle="1" w:styleId="101">
    <w:name w:val="标题 2a"/>
    <w:autoRedefine/>
    <w:qFormat/>
    <w:uiPriority w:val="0"/>
    <w:rPr>
      <w:rFonts w:ascii="Times New Roman" w:hAnsi="Times New Roman" w:eastAsia="宋体"/>
      <w:b/>
      <w:bCs/>
      <w:kern w:val="2"/>
      <w:sz w:val="24"/>
      <w:szCs w:val="24"/>
      <w:lang w:val="en-US" w:eastAsia="zh-CN" w:bidi="ar-SA"/>
    </w:rPr>
  </w:style>
  <w:style w:type="character" w:customStyle="1" w:styleId="102">
    <w:name w:val="XN图标 Char"/>
    <w:link w:val="103"/>
    <w:autoRedefine/>
    <w:qFormat/>
    <w:uiPriority w:val="0"/>
    <w:rPr>
      <w:rFonts w:ascii="仿宋" w:hAnsi="仿宋" w:eastAsia="仿宋"/>
      <w:color w:val="000000"/>
      <w:kern w:val="2"/>
      <w:sz w:val="21"/>
      <w:szCs w:val="24"/>
    </w:rPr>
  </w:style>
  <w:style w:type="paragraph" w:customStyle="1" w:styleId="103">
    <w:name w:val="XN图标"/>
    <w:basedOn w:val="1"/>
    <w:link w:val="102"/>
    <w:autoRedefine/>
    <w:qFormat/>
    <w:uiPriority w:val="0"/>
    <w:pPr>
      <w:spacing w:line="264" w:lineRule="auto"/>
      <w:jc w:val="center"/>
    </w:pPr>
    <w:rPr>
      <w:rFonts w:ascii="仿宋" w:hAnsi="仿宋" w:eastAsia="仿宋"/>
      <w:color w:val="000000"/>
    </w:rPr>
  </w:style>
  <w:style w:type="paragraph" w:customStyle="1" w:styleId="104">
    <w:name w:val="正文 New"/>
    <w:autoRedefine/>
    <w:qFormat/>
    <w:uiPriority w:val="0"/>
    <w:pPr>
      <w:widowControl w:val="0"/>
      <w:spacing w:beforeLines="50" w:afterLines="50" w:line="440" w:lineRule="exact"/>
      <w:ind w:firstLine="640" w:firstLineChars="200"/>
      <w:jc w:val="both"/>
    </w:pPr>
    <w:rPr>
      <w:rFonts w:ascii="Times New Roman" w:hAnsi="Times New Roman" w:eastAsia="宋体" w:cs="Times New Roman"/>
      <w:sz w:val="24"/>
      <w:szCs w:val="24"/>
      <w:lang w:val="en-US" w:eastAsia="zh-CN" w:bidi="ar-SA"/>
    </w:rPr>
  </w:style>
  <w:style w:type="character" w:customStyle="1" w:styleId="105">
    <w:name w:val="(1) Char"/>
    <w:link w:val="106"/>
    <w:autoRedefine/>
    <w:qFormat/>
    <w:uiPriority w:val="0"/>
    <w:rPr>
      <w:rFonts w:ascii="仿宋" w:hAnsi="宋体" w:eastAsia="仿宋"/>
      <w:szCs w:val="21"/>
    </w:rPr>
  </w:style>
  <w:style w:type="paragraph" w:customStyle="1" w:styleId="106">
    <w:name w:val="(1)"/>
    <w:basedOn w:val="1"/>
    <w:link w:val="105"/>
    <w:autoRedefine/>
    <w:qFormat/>
    <w:uiPriority w:val="0"/>
    <w:pPr>
      <w:spacing w:line="360" w:lineRule="auto"/>
      <w:ind w:firstLine="420" w:firstLineChars="200"/>
    </w:pPr>
    <w:rPr>
      <w:rFonts w:ascii="仿宋" w:hAnsi="宋体" w:eastAsia="仿宋"/>
      <w:kern w:val="0"/>
      <w:sz w:val="20"/>
      <w:szCs w:val="21"/>
    </w:rPr>
  </w:style>
  <w:style w:type="character" w:customStyle="1" w:styleId="107">
    <w:name w:val="表格内容陈 Char Char"/>
    <w:link w:val="108"/>
    <w:autoRedefine/>
    <w:qFormat/>
    <w:uiPriority w:val="0"/>
    <w:rPr>
      <w:rFonts w:cs="宋体"/>
      <w:color w:val="000000"/>
      <w:sz w:val="21"/>
      <w:szCs w:val="21"/>
    </w:rPr>
  </w:style>
  <w:style w:type="paragraph" w:customStyle="1" w:styleId="108">
    <w:name w:val="表格内容陈"/>
    <w:basedOn w:val="1"/>
    <w:link w:val="107"/>
    <w:autoRedefine/>
    <w:qFormat/>
    <w:uiPriority w:val="0"/>
    <w:pPr>
      <w:widowControl/>
      <w:adjustRightInd w:val="0"/>
      <w:snapToGrid w:val="0"/>
      <w:spacing w:line="360" w:lineRule="exact"/>
      <w:jc w:val="left"/>
    </w:pPr>
    <w:rPr>
      <w:rFonts w:cs="宋体"/>
      <w:color w:val="000000"/>
      <w:kern w:val="0"/>
      <w:szCs w:val="21"/>
    </w:rPr>
  </w:style>
  <w:style w:type="character" w:customStyle="1" w:styleId="109">
    <w:name w:val="表样式1 Char Char"/>
    <w:link w:val="110"/>
    <w:autoRedefine/>
    <w:qFormat/>
    <w:uiPriority w:val="0"/>
    <w:rPr>
      <w:b/>
      <w:bCs/>
      <w:color w:val="000000"/>
      <w:kern w:val="2"/>
      <w:sz w:val="21"/>
      <w:szCs w:val="24"/>
    </w:rPr>
  </w:style>
  <w:style w:type="paragraph" w:customStyle="1" w:styleId="110">
    <w:name w:val="表样式1"/>
    <w:basedOn w:val="1"/>
    <w:link w:val="109"/>
    <w:autoRedefine/>
    <w:qFormat/>
    <w:uiPriority w:val="0"/>
    <w:pPr>
      <w:spacing w:line="400" w:lineRule="exact"/>
      <w:jc w:val="center"/>
    </w:pPr>
    <w:rPr>
      <w:b/>
      <w:bCs/>
      <w:color w:val="000000"/>
    </w:rPr>
  </w:style>
  <w:style w:type="character" w:customStyle="1" w:styleId="111">
    <w:name w:val="普通(网站) Char"/>
    <w:link w:val="19"/>
    <w:autoRedefine/>
    <w:qFormat/>
    <w:uiPriority w:val="0"/>
    <w:rPr>
      <w:rFonts w:ascii="宋体" w:hAnsi="宋体" w:cs="宋体"/>
      <w:sz w:val="24"/>
      <w:szCs w:val="24"/>
    </w:rPr>
  </w:style>
  <w:style w:type="paragraph" w:customStyle="1" w:styleId="112">
    <w:name w:val="一级标题"/>
    <w:basedOn w:val="1"/>
    <w:autoRedefine/>
    <w:qFormat/>
    <w:uiPriority w:val="0"/>
    <w:pPr>
      <w:spacing w:beforeLines="50" w:afterLines="50" w:line="300" w:lineRule="auto"/>
      <w:jc w:val="center"/>
      <w:outlineLvl w:val="0"/>
    </w:pPr>
    <w:rPr>
      <w:b/>
      <w:color w:val="000000"/>
      <w:sz w:val="44"/>
    </w:rPr>
  </w:style>
  <w:style w:type="paragraph" w:customStyle="1" w:styleId="113">
    <w:name w:val="p0"/>
    <w:basedOn w:val="1"/>
    <w:autoRedefine/>
    <w:qFormat/>
    <w:uiPriority w:val="0"/>
    <w:pPr>
      <w:widowControl/>
      <w:spacing w:before="100" w:beforeAutospacing="1" w:after="100" w:afterAutospacing="1"/>
      <w:ind w:firstLine="200" w:firstLineChars="200"/>
      <w:jc w:val="left"/>
    </w:pPr>
    <w:rPr>
      <w:rFonts w:ascii="仿宋" w:hAnsi="宋体" w:eastAsia="仿宋"/>
      <w:kern w:val="0"/>
      <w:szCs w:val="20"/>
    </w:rPr>
  </w:style>
  <w:style w:type="paragraph" w:customStyle="1" w:styleId="114">
    <w:name w:val="custom_unionstyle"/>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5">
    <w:name w:val="Table Paragraph"/>
    <w:basedOn w:val="1"/>
    <w:autoRedefine/>
    <w:qFormat/>
    <w:uiPriority w:val="1"/>
    <w:pPr>
      <w:jc w:val="left"/>
    </w:pPr>
    <w:rPr>
      <w:rFonts w:ascii="Calibri" w:hAnsi="Calibri"/>
      <w:kern w:val="0"/>
      <w:sz w:val="22"/>
      <w:szCs w:val="22"/>
      <w:lang w:eastAsia="en-US"/>
    </w:rPr>
  </w:style>
  <w:style w:type="paragraph" w:customStyle="1" w:styleId="116">
    <w:name w:val="标题 51"/>
    <w:basedOn w:val="1"/>
    <w:autoRedefine/>
    <w:qFormat/>
    <w:uiPriority w:val="1"/>
    <w:pPr>
      <w:spacing w:before="39"/>
      <w:ind w:left="360"/>
      <w:jc w:val="left"/>
      <w:outlineLvl w:val="5"/>
    </w:pPr>
    <w:rPr>
      <w:rFonts w:ascii="宋体" w:hAnsi="宋体"/>
      <w:b/>
      <w:bCs/>
      <w:kern w:val="0"/>
      <w:sz w:val="23"/>
      <w:szCs w:val="23"/>
      <w:lang w:eastAsia="en-US"/>
    </w:rPr>
  </w:style>
  <w:style w:type="paragraph" w:customStyle="1" w:styleId="117">
    <w:name w:val="正文图标题"/>
    <w:next w:val="1"/>
    <w:autoRedefine/>
    <w:qFormat/>
    <w:uiPriority w:val="0"/>
    <w:pPr>
      <w:numPr>
        <w:ilvl w:val="0"/>
        <w:numId w:val="3"/>
      </w:numPr>
      <w:spacing w:beforeLines="50" w:after="200" w:line="276" w:lineRule="auto"/>
      <w:jc w:val="center"/>
    </w:pPr>
    <w:rPr>
      <w:rFonts w:ascii="黑体" w:hAnsi="Calibri" w:eastAsia="黑体" w:cs="Times New Roman"/>
      <w:sz w:val="21"/>
      <w:szCs w:val="22"/>
      <w:lang w:val="en-US" w:eastAsia="en-US" w:bidi="en-US"/>
    </w:rPr>
  </w:style>
  <w:style w:type="character" w:customStyle="1" w:styleId="118">
    <w:name w:val="标题 2 Char1"/>
    <w:autoRedefine/>
    <w:qFormat/>
    <w:uiPriority w:val="0"/>
    <w:rPr>
      <w:rFonts w:ascii="仿宋" w:hAnsi="仿宋" w:eastAsia="仿宋" w:cs="Times New Roman"/>
      <w:b/>
      <w:bCs/>
      <w:sz w:val="28"/>
      <w:szCs w:val="32"/>
    </w:rPr>
  </w:style>
  <w:style w:type="paragraph" w:customStyle="1" w:styleId="119">
    <w:name w:val="样式 标题 2 +"/>
    <w:basedOn w:val="3"/>
    <w:autoRedefine/>
    <w:qFormat/>
    <w:uiPriority w:val="0"/>
    <w:pPr>
      <w:keepLines w:val="0"/>
      <w:spacing w:before="0" w:after="0" w:line="240" w:lineRule="auto"/>
    </w:pPr>
    <w:rPr>
      <w:rFonts w:ascii="宋体" w:hAnsi="Times New Roman"/>
      <w:kern w:val="0"/>
      <w:sz w:val="24"/>
      <w:szCs w:val="24"/>
    </w:rPr>
  </w:style>
  <w:style w:type="paragraph" w:customStyle="1" w:styleId="120">
    <w:name w:val="图片格式"/>
    <w:autoRedefine/>
    <w:qFormat/>
    <w:uiPriority w:val="0"/>
    <w:pPr>
      <w:jc w:val="center"/>
    </w:pPr>
    <w:rPr>
      <w:rFonts w:eastAsia="宋体" w:asciiTheme="minorHAnsi" w:hAnsiTheme="minorHAnsi" w:cstheme="minorBidi"/>
      <w:kern w:val="2"/>
      <w:sz w:val="21"/>
      <w:szCs w:val="24"/>
      <w:lang w:val="en-US" w:eastAsia="zh-CN" w:bidi="ar-SA"/>
    </w:rPr>
  </w:style>
  <w:style w:type="character" w:customStyle="1" w:styleId="121">
    <w:name w:val="题注 Char"/>
    <w:link w:val="6"/>
    <w:autoRedefine/>
    <w:qFormat/>
    <w:uiPriority w:val="0"/>
    <w:rPr>
      <w:rFonts w:ascii="Cambria" w:hAnsi="Cambria" w:eastAsia="黑体"/>
      <w:kern w:val="2"/>
    </w:rPr>
  </w:style>
  <w:style w:type="paragraph" w:customStyle="1" w:styleId="122">
    <w:name w:val="小标题"/>
    <w:basedOn w:val="1"/>
    <w:autoRedefine/>
    <w:qFormat/>
    <w:uiPriority w:val="0"/>
    <w:pPr>
      <w:snapToGrid w:val="0"/>
      <w:spacing w:line="360" w:lineRule="auto"/>
      <w:ind w:firstLine="480" w:firstLineChars="200"/>
      <w:jc w:val="left"/>
    </w:pPr>
    <w:rPr>
      <w:rFonts w:asciiTheme="minorHAnsi" w:hAnsiTheme="minorHAnsi" w:cstheme="minorBidi"/>
      <w:b/>
      <w:sz w:val="24"/>
    </w:rPr>
  </w:style>
  <w:style w:type="paragraph" w:customStyle="1" w:styleId="123">
    <w:name w:val="表格文字"/>
    <w:next w:val="1"/>
    <w:autoRedefine/>
    <w:qFormat/>
    <w:uiPriority w:val="0"/>
    <w:pPr>
      <w:jc w:val="both"/>
    </w:pPr>
    <w:rPr>
      <w:rFonts w:ascii="黑体" w:hAnsi="黑体" w:eastAsia="宋体" w:cs="Times New Roman"/>
      <w:bCs/>
      <w:sz w:val="21"/>
      <w:szCs w:val="28"/>
      <w:lang w:val="en-US" w:eastAsia="zh-CN" w:bidi="ar-SA"/>
    </w:rPr>
  </w:style>
  <w:style w:type="character" w:customStyle="1" w:styleId="124">
    <w:name w:val="font11"/>
    <w:autoRedefine/>
    <w:qFormat/>
    <w:uiPriority w:val="0"/>
    <w:rPr>
      <w:rFonts w:hint="eastAsia" w:ascii="宋体" w:hAnsi="宋体" w:eastAsia="宋体" w:cs="宋体"/>
      <w:color w:val="000000"/>
      <w:sz w:val="22"/>
      <w:szCs w:val="22"/>
      <w:u w:val="none"/>
    </w:rPr>
  </w:style>
  <w:style w:type="paragraph" w:customStyle="1" w:styleId="125">
    <w:name w:val="表头文字"/>
    <w:basedOn w:val="123"/>
    <w:autoRedefine/>
    <w:qFormat/>
    <w:uiPriority w:val="0"/>
    <w:pPr>
      <w:jc w:val="center"/>
    </w:pPr>
    <w:rPr>
      <w:b/>
      <w:szCs w:val="22"/>
    </w:rPr>
  </w:style>
  <w:style w:type="character" w:customStyle="1" w:styleId="126">
    <w:name w:val="表格内 Char"/>
    <w:link w:val="127"/>
    <w:autoRedefine/>
    <w:qFormat/>
    <w:uiPriority w:val="0"/>
    <w:rPr>
      <w:rFonts w:ascii="仿宋" w:hAnsi="宋体" w:eastAsia="仿宋"/>
      <w:szCs w:val="21"/>
    </w:rPr>
  </w:style>
  <w:style w:type="paragraph" w:customStyle="1" w:styleId="127">
    <w:name w:val="表格内"/>
    <w:basedOn w:val="1"/>
    <w:link w:val="126"/>
    <w:autoRedefine/>
    <w:qFormat/>
    <w:uiPriority w:val="0"/>
    <w:pPr>
      <w:widowControl/>
      <w:adjustRightInd w:val="0"/>
      <w:snapToGrid w:val="0"/>
      <w:spacing w:line="400" w:lineRule="exact"/>
      <w:ind w:firstLine="200" w:firstLineChars="200"/>
    </w:pPr>
    <w:rPr>
      <w:rFonts w:ascii="仿宋" w:hAnsi="宋体" w:eastAsia="仿宋"/>
      <w:kern w:val="0"/>
      <w:sz w:val="20"/>
      <w:szCs w:val="21"/>
    </w:rPr>
  </w:style>
  <w:style w:type="character" w:customStyle="1" w:styleId="128">
    <w:name w:val="表头 Char"/>
    <w:link w:val="129"/>
    <w:autoRedefine/>
    <w:qFormat/>
    <w:uiPriority w:val="0"/>
    <w:rPr>
      <w:rFonts w:ascii="仿宋" w:hAnsi="宋体" w:eastAsia="仿宋"/>
      <w:b/>
      <w:szCs w:val="21"/>
    </w:rPr>
  </w:style>
  <w:style w:type="paragraph" w:customStyle="1" w:styleId="129">
    <w:name w:val="表头"/>
    <w:basedOn w:val="1"/>
    <w:link w:val="128"/>
    <w:autoRedefine/>
    <w:qFormat/>
    <w:uiPriority w:val="0"/>
    <w:pPr>
      <w:adjustRightInd w:val="0"/>
      <w:snapToGrid w:val="0"/>
      <w:ind w:firstLine="200" w:firstLineChars="200"/>
      <w:jc w:val="center"/>
    </w:pPr>
    <w:rPr>
      <w:rFonts w:ascii="仿宋" w:hAnsi="宋体" w:eastAsia="仿宋"/>
      <w:b/>
      <w:kern w:val="0"/>
      <w:sz w:val="20"/>
      <w:szCs w:val="21"/>
    </w:rPr>
  </w:style>
  <w:style w:type="character" w:customStyle="1" w:styleId="130">
    <w:name w:val="zi_101"/>
    <w:qFormat/>
    <w:uiPriority w:val="0"/>
    <w:rPr>
      <w:rFonts w:hint="default" w:ascii="Verdana" w:hAnsi="Verdana"/>
      <w:color w:val="C90000"/>
      <w:sz w:val="18"/>
      <w:szCs w:val="18"/>
    </w:rPr>
  </w:style>
  <w:style w:type="character" w:customStyle="1" w:styleId="131">
    <w:name w:val="XN正文 Char"/>
    <w:link w:val="132"/>
    <w:qFormat/>
    <w:uiPriority w:val="0"/>
    <w:rPr>
      <w:rFonts w:ascii="仿宋" w:hAnsi="仿宋" w:eastAsia="仿宋"/>
      <w:color w:val="000000"/>
      <w:kern w:val="2"/>
      <w:sz w:val="24"/>
      <w:szCs w:val="24"/>
    </w:rPr>
  </w:style>
  <w:style w:type="paragraph" w:customStyle="1" w:styleId="132">
    <w:name w:val="XN正文"/>
    <w:basedOn w:val="1"/>
    <w:link w:val="131"/>
    <w:qFormat/>
    <w:uiPriority w:val="0"/>
    <w:pPr>
      <w:spacing w:line="300" w:lineRule="auto"/>
      <w:ind w:firstLine="200" w:firstLineChars="200"/>
    </w:pPr>
    <w:rPr>
      <w:rFonts w:ascii="仿宋" w:hAnsi="仿宋" w:eastAsia="仿宋"/>
      <w:color w:val="000000"/>
      <w:sz w:val="24"/>
    </w:rPr>
  </w:style>
  <w:style w:type="character" w:customStyle="1" w:styleId="133">
    <w:name w:val="XN表头 Char"/>
    <w:link w:val="134"/>
    <w:qFormat/>
    <w:locked/>
    <w:uiPriority w:val="99"/>
    <w:rPr>
      <w:rFonts w:ascii="Cambria" w:hAnsi="Cambria" w:eastAsia="仿宋"/>
      <w:b/>
      <w:kern w:val="2"/>
      <w:sz w:val="24"/>
    </w:rPr>
  </w:style>
  <w:style w:type="paragraph" w:customStyle="1" w:styleId="134">
    <w:name w:val="XN表头"/>
    <w:basedOn w:val="6"/>
    <w:link w:val="133"/>
    <w:qFormat/>
    <w:uiPriority w:val="99"/>
    <w:pPr>
      <w:spacing w:beforeLines="30" w:afterLines="20" w:line="400" w:lineRule="exact"/>
      <w:jc w:val="center"/>
    </w:pPr>
    <w:rPr>
      <w:rFonts w:eastAsia="仿宋"/>
      <w:b/>
      <w:sz w:val="24"/>
    </w:rPr>
  </w:style>
  <w:style w:type="character" w:customStyle="1" w:styleId="135">
    <w:name w:val="XN四级标题 Char"/>
    <w:link w:val="136"/>
    <w:qFormat/>
    <w:uiPriority w:val="0"/>
    <w:rPr>
      <w:rFonts w:ascii="仿宋" w:hAnsi="仿宋" w:eastAsia="仿宋"/>
      <w:b/>
      <w:color w:val="000000"/>
      <w:kern w:val="2"/>
      <w:sz w:val="28"/>
      <w:szCs w:val="24"/>
    </w:rPr>
  </w:style>
  <w:style w:type="paragraph" w:customStyle="1" w:styleId="136">
    <w:name w:val="XN四级标题"/>
    <w:basedOn w:val="1"/>
    <w:link w:val="135"/>
    <w:qFormat/>
    <w:uiPriority w:val="0"/>
    <w:pPr>
      <w:spacing w:afterLines="50"/>
      <w:jc w:val="left"/>
      <w:outlineLvl w:val="3"/>
    </w:pPr>
    <w:rPr>
      <w:rFonts w:ascii="仿宋" w:hAnsi="仿宋" w:eastAsia="仿宋"/>
      <w:b/>
      <w:color w:val="000000"/>
      <w:sz w:val="28"/>
    </w:rPr>
  </w:style>
  <w:style w:type="character" w:customStyle="1" w:styleId="137">
    <w:name w:val="常用正文样式 Char1"/>
    <w:link w:val="138"/>
    <w:uiPriority w:val="0"/>
    <w:rPr>
      <w:rFonts w:ascii="宋体" w:hAnsi="新宋体" w:eastAsia="仿宋"/>
      <w:kern w:val="2"/>
      <w:sz w:val="24"/>
      <w:szCs w:val="24"/>
    </w:rPr>
  </w:style>
  <w:style w:type="paragraph" w:customStyle="1" w:styleId="138">
    <w:name w:val="常用正文样式"/>
    <w:link w:val="137"/>
    <w:qFormat/>
    <w:uiPriority w:val="0"/>
    <w:pPr>
      <w:widowControl w:val="0"/>
      <w:spacing w:line="360" w:lineRule="auto"/>
      <w:ind w:firstLine="454"/>
      <w:jc w:val="both"/>
    </w:pPr>
    <w:rPr>
      <w:rFonts w:ascii="宋体" w:hAnsi="新宋体" w:eastAsia="仿宋"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838"/>
    <customShpInfo spid="_x0000_s1876"/>
    <customShpInfo spid="_x0000_s1841"/>
    <customShpInfo spid="_x0000_s1842"/>
    <customShpInfo spid="_x0000_s1878"/>
    <customShpInfo spid="_x0000_s1881"/>
    <customShpInfo spid="_x0000_s1895"/>
    <customShpInfo spid="_x0000_s1879"/>
    <customShpInfo spid="_x0000_s1880"/>
    <customShpInfo spid="_x0000_s1882"/>
    <customShpInfo spid="_x0000_s1877"/>
    <customShpInfo spid="_x0000_s1837"/>
    <customShpInfo spid="_x0000_s1849"/>
    <customShpInfo spid="_x0000_s1854"/>
    <customShpInfo spid="_x0000_s1896"/>
    <customShpInfo spid="_x0000_s1850"/>
    <customShpInfo spid="_x0000_s1848"/>
    <customShpInfo spid="_x0000_s1851"/>
    <customShpInfo spid="_x0000_s18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487829-C7D9-4039-A2EA-470787BF740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2350</Words>
  <Characters>13400</Characters>
  <Lines>111</Lines>
  <Paragraphs>31</Paragraphs>
  <TotalTime>0</TotalTime>
  <ScaleCrop>false</ScaleCrop>
  <LinksUpToDate>false</LinksUpToDate>
  <CharactersWithSpaces>15719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2017-11-14T08:48:00Z</dcterms:created>
  <dc:creator>边晨</dc:creator>
  <cp:lastModifiedBy>博维-王雅兰</cp:lastModifiedBy>
  <cp:lastPrinted>2023-12-11T01:11:00Z</cp:lastPrinted>
  <dcterms:modified xsi:type="dcterms:W3CDTF">2023-12-14T05:38:24Z</dcterms:modified>
  <dc:title>目  次</dc:title>
  <cp:revision>1051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F57ABB0176994B95BCFA39E9E8F48080_12</vt:lpwstr>
  </property>
</Properties>
</file>